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B4BD2C" w14:textId="77777777" w:rsidR="008E79D4" w:rsidRDefault="008E79D4">
      <w:pPr>
        <w:spacing w:after="0"/>
        <w:rPr>
          <w:rFonts w:ascii="Times New Roman" w:eastAsia="Times New Roman" w:hAnsi="Times New Roman" w:cs="Times New Roman"/>
          <w:sz w:val="24"/>
          <w:szCs w:val="24"/>
        </w:rPr>
      </w:pPr>
      <w:bookmarkStart w:id="0" w:name="_GoBack"/>
      <w:bookmarkEnd w:id="0"/>
    </w:p>
    <w:tbl>
      <w:tblPr>
        <w:tblStyle w:val="a0"/>
        <w:tblW w:w="10499" w:type="dxa"/>
        <w:tblInd w:w="-867" w:type="dxa"/>
        <w:tblBorders>
          <w:top w:val="nil"/>
          <w:left w:val="nil"/>
          <w:bottom w:val="nil"/>
          <w:right w:val="nil"/>
        </w:tblBorders>
        <w:tblLayout w:type="fixed"/>
        <w:tblLook w:val="0000" w:firstRow="0" w:lastRow="0" w:firstColumn="0" w:lastColumn="0" w:noHBand="0" w:noVBand="0"/>
      </w:tblPr>
      <w:tblGrid>
        <w:gridCol w:w="250"/>
        <w:gridCol w:w="3739"/>
        <w:gridCol w:w="1804"/>
        <w:gridCol w:w="4706"/>
      </w:tblGrid>
      <w:tr w:rsidR="008E79D4" w14:paraId="15B4BD30" w14:textId="77777777">
        <w:trPr>
          <w:trHeight w:val="520"/>
        </w:trPr>
        <w:tc>
          <w:tcPr>
            <w:tcW w:w="3837" w:type="dxa"/>
            <w:gridSpan w:val="2"/>
            <w:tcBorders>
              <w:top w:val="single" w:sz="8" w:space="0" w:color="000000"/>
              <w:left w:val="single" w:sz="8" w:space="0" w:color="000000"/>
              <w:bottom w:val="single" w:sz="8" w:space="0" w:color="000000"/>
              <w:right w:val="single" w:sz="8" w:space="0" w:color="000000"/>
            </w:tcBorders>
          </w:tcPr>
          <w:p w14:paraId="15B4BD2D"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Nazwa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przedmiotu</w:t>
            </w:r>
            <w:proofErr w:type="spellEnd"/>
            <w:r>
              <w:rPr>
                <w:rFonts w:ascii="Times New Roman" w:eastAsia="Times New Roman" w:hAnsi="Times New Roman" w:cs="Times New Roman"/>
                <w:sz w:val="24"/>
                <w:szCs w:val="24"/>
              </w:rPr>
              <w:t xml:space="preserve"> </w:t>
            </w:r>
          </w:p>
        </w:tc>
        <w:tc>
          <w:tcPr>
            <w:tcW w:w="6662" w:type="dxa"/>
            <w:gridSpan w:val="2"/>
            <w:tcBorders>
              <w:top w:val="single" w:sz="8" w:space="0" w:color="000000"/>
              <w:left w:val="single" w:sz="8" w:space="0" w:color="000000"/>
              <w:bottom w:val="single" w:sz="8" w:space="0" w:color="000000"/>
              <w:right w:val="single" w:sz="8" w:space="0" w:color="000000"/>
            </w:tcBorders>
          </w:tcPr>
          <w:p w14:paraId="15B4BD2E" w14:textId="77777777" w:rsidR="008E79D4" w:rsidRDefault="00AF3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Spotkania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międzycywilizacyjne</w:t>
            </w:r>
            <w:proofErr w:type="spellEnd"/>
            <w:r>
              <w:rPr>
                <w:rFonts w:ascii="Times New Roman" w:eastAsia="Times New Roman" w:hAnsi="Times New Roman" w:cs="Times New Roman"/>
                <w:sz w:val="24"/>
                <w:szCs w:val="24"/>
              </w:rPr>
              <w:t xml:space="preserve">” (150 </w:t>
            </w:r>
            <w:proofErr w:type="spellStart"/>
            <w:r>
              <w:rPr>
                <w:rFonts w:ascii="Times New Roman" w:eastAsia="Times New Roman" w:hAnsi="Times New Roman" w:cs="Times New Roman"/>
                <w:sz w:val="24"/>
                <w:szCs w:val="24"/>
              </w:rPr>
              <w:t>godzin</w:t>
            </w:r>
            <w:proofErr w:type="spellEnd"/>
            <w:r>
              <w:rPr>
                <w:rFonts w:ascii="Times New Roman" w:eastAsia="Times New Roman" w:hAnsi="Times New Roman" w:cs="Times New Roman"/>
                <w:sz w:val="24"/>
                <w:szCs w:val="24"/>
              </w:rPr>
              <w:t>)</w:t>
            </w:r>
          </w:p>
          <w:p w14:paraId="15B4BD2F" w14:textId="77777777" w:rsidR="008E79D4" w:rsidRDefault="008E79D4">
            <w:pPr>
              <w:spacing w:after="0" w:line="240" w:lineRule="auto"/>
              <w:rPr>
                <w:rFonts w:ascii="Times New Roman" w:eastAsia="Times New Roman" w:hAnsi="Times New Roman" w:cs="Times New Roman"/>
                <w:sz w:val="24"/>
                <w:szCs w:val="24"/>
              </w:rPr>
            </w:pPr>
          </w:p>
        </w:tc>
      </w:tr>
      <w:tr w:rsidR="008E79D4" w14:paraId="15B4BD33" w14:textId="77777777">
        <w:trPr>
          <w:trHeight w:val="420"/>
        </w:trPr>
        <w:tc>
          <w:tcPr>
            <w:tcW w:w="3837" w:type="dxa"/>
            <w:gridSpan w:val="2"/>
            <w:tcBorders>
              <w:top w:val="single" w:sz="8" w:space="0" w:color="000000"/>
              <w:left w:val="single" w:sz="8" w:space="0" w:color="000000"/>
              <w:bottom w:val="single" w:sz="8" w:space="0" w:color="000000"/>
              <w:right w:val="single" w:sz="8" w:space="0" w:color="000000"/>
            </w:tcBorders>
          </w:tcPr>
          <w:p w14:paraId="15B4BD31"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Jednostka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prowadząca</w:t>
            </w:r>
            <w:proofErr w:type="spellEnd"/>
            <w:r>
              <w:rPr>
                <w:rFonts w:ascii="Times New Roman" w:eastAsia="Times New Roman" w:hAnsi="Times New Roman" w:cs="Times New Roman"/>
                <w:sz w:val="24"/>
                <w:szCs w:val="24"/>
              </w:rPr>
              <w:t xml:space="preserve"> </w:t>
            </w:r>
          </w:p>
        </w:tc>
        <w:tc>
          <w:tcPr>
            <w:tcW w:w="6662" w:type="dxa"/>
            <w:gridSpan w:val="2"/>
            <w:tcBorders>
              <w:top w:val="single" w:sz="8" w:space="0" w:color="000000"/>
              <w:left w:val="single" w:sz="8" w:space="0" w:color="000000"/>
              <w:bottom w:val="single" w:sz="8" w:space="0" w:color="000000"/>
              <w:right w:val="single" w:sz="8" w:space="0" w:color="000000"/>
            </w:tcBorders>
          </w:tcPr>
          <w:p w14:paraId="15B4BD32"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Wydział</w:t>
            </w:r>
            <w:proofErr w:type="spellEnd"/>
            <w:r>
              <w:rPr>
                <w:rFonts w:ascii="Times New Roman" w:eastAsia="Times New Roman" w:hAnsi="Times New Roman" w:cs="Times New Roman"/>
                <w:sz w:val="24"/>
                <w:szCs w:val="24"/>
              </w:rPr>
              <w:t xml:space="preserve"> Artes </w:t>
            </w:r>
            <w:proofErr w:type="spellStart"/>
            <w:r>
              <w:rPr>
                <w:rFonts w:ascii="Times New Roman" w:eastAsia="Times New Roman" w:hAnsi="Times New Roman" w:cs="Times New Roman"/>
                <w:sz w:val="24"/>
                <w:szCs w:val="24"/>
              </w:rPr>
              <w:t>Liberales</w:t>
            </w:r>
            <w:proofErr w:type="spellEnd"/>
            <w:r>
              <w:rPr>
                <w:rFonts w:ascii="Times New Roman" w:eastAsia="Times New Roman" w:hAnsi="Times New Roman" w:cs="Times New Roman"/>
                <w:sz w:val="24"/>
                <w:szCs w:val="24"/>
              </w:rPr>
              <w:t xml:space="preserve"> UW</w:t>
            </w:r>
          </w:p>
        </w:tc>
      </w:tr>
      <w:tr w:rsidR="008E79D4" w14:paraId="15B4BD36" w14:textId="77777777">
        <w:trPr>
          <w:trHeight w:val="320"/>
        </w:trPr>
        <w:tc>
          <w:tcPr>
            <w:tcW w:w="3837" w:type="dxa"/>
            <w:gridSpan w:val="2"/>
            <w:tcBorders>
              <w:top w:val="single" w:sz="8" w:space="0" w:color="000000"/>
              <w:left w:val="single" w:sz="8" w:space="0" w:color="000000"/>
              <w:bottom w:val="single" w:sz="8" w:space="0" w:color="000000"/>
              <w:right w:val="single" w:sz="8" w:space="0" w:color="000000"/>
            </w:tcBorders>
          </w:tcPr>
          <w:p w14:paraId="15B4BD34"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Jednostka, dla której przedmiot jest oferowany </w:t>
            </w:r>
          </w:p>
        </w:tc>
        <w:tc>
          <w:tcPr>
            <w:tcW w:w="6662" w:type="dxa"/>
            <w:gridSpan w:val="2"/>
            <w:tcBorders>
              <w:top w:val="single" w:sz="8" w:space="0" w:color="000000"/>
              <w:left w:val="single" w:sz="8" w:space="0" w:color="000000"/>
              <w:bottom w:val="single" w:sz="8" w:space="0" w:color="000000"/>
              <w:right w:val="single" w:sz="8" w:space="0" w:color="000000"/>
            </w:tcBorders>
          </w:tcPr>
          <w:p w14:paraId="15B4BD35" w14:textId="77777777" w:rsidR="008E79D4" w:rsidRDefault="00AF3D1B">
            <w:pPr>
              <w:spacing w:after="0" w:line="240" w:lineRule="auto"/>
              <w:jc w:val="both"/>
              <w:rPr>
                <w:rFonts w:ascii="Times New Roman" w:eastAsia="Times New Roman" w:hAnsi="Times New Roman" w:cs="Times New Roman"/>
                <w:sz w:val="24"/>
                <w:szCs w:val="24"/>
              </w:rPr>
            </w:pPr>
            <w:r w:rsidRPr="00377F0C">
              <w:rPr>
                <w:rFonts w:ascii="Times New Roman" w:eastAsia="Times New Roman" w:hAnsi="Times New Roman" w:cs="Times New Roman"/>
                <w:sz w:val="24"/>
                <w:szCs w:val="24"/>
                <w:lang w:val="pl-PL"/>
              </w:rPr>
              <w:t xml:space="preserve"> </w:t>
            </w:r>
            <w:proofErr w:type="spellStart"/>
            <w:r>
              <w:rPr>
                <w:rFonts w:ascii="Times New Roman" w:eastAsia="Times New Roman" w:hAnsi="Times New Roman" w:cs="Times New Roman"/>
                <w:sz w:val="24"/>
                <w:szCs w:val="24"/>
              </w:rPr>
              <w:t>Ogólnouniwersyteckie</w:t>
            </w:r>
            <w:proofErr w:type="spellEnd"/>
            <w:r>
              <w:rPr>
                <w:rFonts w:ascii="Times New Roman" w:eastAsia="Times New Roman" w:hAnsi="Times New Roman" w:cs="Times New Roman"/>
                <w:sz w:val="24"/>
                <w:szCs w:val="24"/>
              </w:rPr>
              <w:t xml:space="preserve"> </w:t>
            </w:r>
          </w:p>
        </w:tc>
      </w:tr>
      <w:tr w:rsidR="008E79D4" w:rsidRPr="00696628" w14:paraId="15B4BD3C" w14:textId="77777777">
        <w:trPr>
          <w:trHeight w:val="320"/>
        </w:trPr>
        <w:tc>
          <w:tcPr>
            <w:tcW w:w="3837" w:type="dxa"/>
            <w:gridSpan w:val="2"/>
            <w:tcBorders>
              <w:top w:val="single" w:sz="8" w:space="0" w:color="000000"/>
              <w:left w:val="single" w:sz="8" w:space="0" w:color="000000"/>
              <w:bottom w:val="single" w:sz="8" w:space="0" w:color="000000"/>
              <w:right w:val="single" w:sz="8" w:space="0" w:color="000000"/>
            </w:tcBorders>
            <w:shd w:val="clear" w:color="auto" w:fill="CCCCCC"/>
          </w:tcPr>
          <w:p w14:paraId="15B4BD37"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przedmiotu</w:t>
            </w:r>
            <w:proofErr w:type="spellEnd"/>
            <w:r>
              <w:rPr>
                <w:rFonts w:ascii="Times New Roman" w:eastAsia="Times New Roman" w:hAnsi="Times New Roman" w:cs="Times New Roman"/>
                <w:sz w:val="24"/>
                <w:szCs w:val="24"/>
              </w:rPr>
              <w:t xml:space="preserve"> </w:t>
            </w:r>
          </w:p>
          <w:p w14:paraId="15B4BD38" w14:textId="77777777" w:rsidR="008E79D4" w:rsidRDefault="008E79D4">
            <w:pPr>
              <w:spacing w:after="0" w:line="240" w:lineRule="auto"/>
              <w:rPr>
                <w:rFonts w:ascii="Times New Roman" w:eastAsia="Times New Roman" w:hAnsi="Times New Roman" w:cs="Times New Roman"/>
                <w:sz w:val="24"/>
                <w:szCs w:val="24"/>
              </w:rPr>
            </w:pPr>
          </w:p>
        </w:tc>
        <w:tc>
          <w:tcPr>
            <w:tcW w:w="6662" w:type="dxa"/>
            <w:gridSpan w:val="2"/>
            <w:tcBorders>
              <w:top w:val="single" w:sz="8" w:space="0" w:color="000000"/>
              <w:left w:val="single" w:sz="8" w:space="0" w:color="000000"/>
              <w:bottom w:val="single" w:sz="8" w:space="0" w:color="000000"/>
              <w:right w:val="single" w:sz="8" w:space="0" w:color="000000"/>
            </w:tcBorders>
            <w:shd w:val="clear" w:color="auto" w:fill="CCCCCC"/>
          </w:tcPr>
          <w:p w14:paraId="15B4BD39"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Cykl zintegrowany </w:t>
            </w:r>
          </w:p>
          <w:p w14:paraId="15B4BD3A"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„Spotkania międzycywilizacyjne” (150 godzin)</w:t>
            </w:r>
          </w:p>
          <w:p w14:paraId="15B4BD3B"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 </w:t>
            </w:r>
          </w:p>
        </w:tc>
      </w:tr>
      <w:tr w:rsidR="008E79D4" w14:paraId="15B4BD3F" w14:textId="77777777">
        <w:trPr>
          <w:trHeight w:val="200"/>
        </w:trPr>
        <w:tc>
          <w:tcPr>
            <w:tcW w:w="3837" w:type="dxa"/>
            <w:gridSpan w:val="2"/>
            <w:tcBorders>
              <w:top w:val="single" w:sz="8" w:space="0" w:color="000000"/>
              <w:left w:val="single" w:sz="8" w:space="0" w:color="000000"/>
              <w:bottom w:val="single" w:sz="8" w:space="0" w:color="000000"/>
              <w:right w:val="single" w:sz="8" w:space="0" w:color="000000"/>
            </w:tcBorders>
          </w:tcPr>
          <w:p w14:paraId="15B4BD3D"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Kod</w:t>
            </w:r>
            <w:proofErr w:type="spellEnd"/>
            <w:r>
              <w:rPr>
                <w:rFonts w:ascii="Times New Roman" w:eastAsia="Times New Roman" w:hAnsi="Times New Roman" w:cs="Times New Roman"/>
                <w:sz w:val="24"/>
                <w:szCs w:val="24"/>
              </w:rPr>
              <w:t xml:space="preserve"> ERASMUS </w:t>
            </w:r>
          </w:p>
        </w:tc>
        <w:tc>
          <w:tcPr>
            <w:tcW w:w="6662" w:type="dxa"/>
            <w:gridSpan w:val="2"/>
            <w:tcBorders>
              <w:top w:val="single" w:sz="8" w:space="0" w:color="000000"/>
              <w:left w:val="single" w:sz="8" w:space="0" w:color="000000"/>
              <w:bottom w:val="single" w:sz="8" w:space="0" w:color="000000"/>
              <w:right w:val="single" w:sz="8" w:space="0" w:color="000000"/>
            </w:tcBorders>
          </w:tcPr>
          <w:p w14:paraId="15B4BD3E"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E79D4" w14:paraId="15B4BD42" w14:textId="77777777">
        <w:trPr>
          <w:trHeight w:val="620"/>
        </w:trPr>
        <w:tc>
          <w:tcPr>
            <w:tcW w:w="3837" w:type="dxa"/>
            <w:gridSpan w:val="2"/>
            <w:tcBorders>
              <w:top w:val="single" w:sz="8" w:space="0" w:color="000000"/>
              <w:left w:val="single" w:sz="8" w:space="0" w:color="000000"/>
              <w:bottom w:val="single" w:sz="8" w:space="0" w:color="000000"/>
              <w:right w:val="single" w:sz="8" w:space="0" w:color="000000"/>
            </w:tcBorders>
            <w:shd w:val="clear" w:color="auto" w:fill="CCCCCC"/>
          </w:tcPr>
          <w:p w14:paraId="15B4BD40"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Przyporządkowanie</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grupy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przedmiotów</w:t>
            </w:r>
            <w:proofErr w:type="spellEnd"/>
            <w:r>
              <w:rPr>
                <w:rFonts w:ascii="Times New Roman" w:eastAsia="Times New Roman" w:hAnsi="Times New Roman" w:cs="Times New Roman"/>
                <w:sz w:val="24"/>
                <w:szCs w:val="24"/>
              </w:rPr>
              <w:t xml:space="preserve"> </w:t>
            </w:r>
          </w:p>
        </w:tc>
        <w:tc>
          <w:tcPr>
            <w:tcW w:w="6662" w:type="dxa"/>
            <w:gridSpan w:val="2"/>
            <w:tcBorders>
              <w:top w:val="single" w:sz="8" w:space="0" w:color="000000"/>
              <w:left w:val="single" w:sz="8" w:space="0" w:color="000000"/>
              <w:bottom w:val="single" w:sz="8" w:space="0" w:color="000000"/>
              <w:right w:val="single" w:sz="8" w:space="0" w:color="000000"/>
            </w:tcBorders>
            <w:shd w:val="clear" w:color="auto" w:fill="CCCCCC"/>
          </w:tcPr>
          <w:p w14:paraId="15B4BD41"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Wydział</w:t>
            </w:r>
            <w:proofErr w:type="spellEnd"/>
            <w:r>
              <w:rPr>
                <w:rFonts w:ascii="Times New Roman" w:eastAsia="Times New Roman" w:hAnsi="Times New Roman" w:cs="Times New Roman"/>
                <w:sz w:val="24"/>
                <w:szCs w:val="24"/>
              </w:rPr>
              <w:t xml:space="preserve"> Artes </w:t>
            </w:r>
            <w:proofErr w:type="spellStart"/>
            <w:r>
              <w:rPr>
                <w:rFonts w:ascii="Times New Roman" w:eastAsia="Times New Roman" w:hAnsi="Times New Roman" w:cs="Times New Roman"/>
                <w:sz w:val="24"/>
                <w:szCs w:val="24"/>
              </w:rPr>
              <w:t>Liberales</w:t>
            </w:r>
            <w:proofErr w:type="spellEnd"/>
            <w:r>
              <w:rPr>
                <w:rFonts w:ascii="Times New Roman" w:eastAsia="Times New Roman" w:hAnsi="Times New Roman" w:cs="Times New Roman"/>
                <w:sz w:val="24"/>
                <w:szCs w:val="24"/>
              </w:rPr>
              <w:t xml:space="preserve"> UW</w:t>
            </w:r>
          </w:p>
        </w:tc>
      </w:tr>
      <w:tr w:rsidR="008E79D4" w14:paraId="15B4BD45" w14:textId="77777777">
        <w:trPr>
          <w:trHeight w:val="240"/>
        </w:trPr>
        <w:tc>
          <w:tcPr>
            <w:tcW w:w="3837" w:type="dxa"/>
            <w:gridSpan w:val="2"/>
            <w:tcBorders>
              <w:top w:val="single" w:sz="8" w:space="0" w:color="000000"/>
              <w:left w:val="single" w:sz="8" w:space="0" w:color="000000"/>
              <w:bottom w:val="single" w:sz="8" w:space="0" w:color="000000"/>
              <w:right w:val="single" w:sz="8" w:space="0" w:color="000000"/>
            </w:tcBorders>
          </w:tcPr>
          <w:p w14:paraId="15B4BD43"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Cykl dydaktyczny, w którym przedmiot jest realizowany </w:t>
            </w:r>
          </w:p>
        </w:tc>
        <w:tc>
          <w:tcPr>
            <w:tcW w:w="6662" w:type="dxa"/>
            <w:gridSpan w:val="2"/>
            <w:tcBorders>
              <w:top w:val="single" w:sz="8" w:space="0" w:color="000000"/>
              <w:left w:val="single" w:sz="8" w:space="0" w:color="000000"/>
              <w:bottom w:val="single" w:sz="8" w:space="0" w:color="000000"/>
              <w:right w:val="single" w:sz="8" w:space="0" w:color="000000"/>
            </w:tcBorders>
          </w:tcPr>
          <w:p w14:paraId="15B4BD44"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projekt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pilotażowy</w:t>
            </w:r>
            <w:proofErr w:type="spellEnd"/>
          </w:p>
        </w:tc>
      </w:tr>
      <w:tr w:rsidR="008E79D4" w:rsidRPr="00696628" w14:paraId="15B4BD4A" w14:textId="77777777">
        <w:trPr>
          <w:trHeight w:val="520"/>
        </w:trPr>
        <w:tc>
          <w:tcPr>
            <w:tcW w:w="3837" w:type="dxa"/>
            <w:gridSpan w:val="2"/>
            <w:tcBorders>
              <w:top w:val="single" w:sz="8" w:space="0" w:color="000000"/>
              <w:left w:val="single" w:sz="8" w:space="0" w:color="000000"/>
              <w:bottom w:val="single" w:sz="8" w:space="0" w:color="000000"/>
              <w:right w:val="single" w:sz="8" w:space="0" w:color="000000"/>
            </w:tcBorders>
          </w:tcPr>
          <w:p w14:paraId="15B4BD46"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Skrócony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przedmiotu</w:t>
            </w:r>
            <w:proofErr w:type="spellEnd"/>
            <w:r>
              <w:rPr>
                <w:rFonts w:ascii="Times New Roman" w:eastAsia="Times New Roman" w:hAnsi="Times New Roman" w:cs="Times New Roman"/>
                <w:sz w:val="24"/>
                <w:szCs w:val="24"/>
              </w:rPr>
              <w:t xml:space="preserve"> </w:t>
            </w:r>
          </w:p>
        </w:tc>
        <w:tc>
          <w:tcPr>
            <w:tcW w:w="6662" w:type="dxa"/>
            <w:gridSpan w:val="2"/>
            <w:tcBorders>
              <w:top w:val="single" w:sz="8" w:space="0" w:color="000000"/>
              <w:left w:val="single" w:sz="8" w:space="0" w:color="000000"/>
              <w:bottom w:val="single" w:sz="8" w:space="0" w:color="000000"/>
              <w:right w:val="single" w:sz="8" w:space="0" w:color="000000"/>
            </w:tcBorders>
          </w:tcPr>
          <w:p w14:paraId="15B4BD47" w14:textId="77777777" w:rsidR="008E79D4" w:rsidRPr="00377F0C" w:rsidRDefault="00AF3D1B">
            <w:pPr>
              <w:spacing w:after="0" w:line="240" w:lineRule="auto"/>
              <w:ind w:firstLine="284"/>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Celem procesu  dydaktycznego zawartym w cyklu  „Spotkania międzycywilizacyjne”  jest nabycie umiejętności przekształcania informacji w wiedzę, translacja nabytej wiedzy w dialog międzycywilizacyjny. </w:t>
            </w:r>
          </w:p>
          <w:p w14:paraId="15B4BD48"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 Warunkiem każdej komunikacji międzykulturowej jest możliwość wyjścia poza własną kulturę; wykroczenia poza nią, a dokonuje się to w sytuacji dialogu z przedstawicielem innej kultury. Każda taka komunikacja jest próbą wzajemnego uzgodnienia i zrozumienia znaczeń. Nie jest ona możliwa bez świadomej refleksji nad własną kulturą i wiedzy o innej kulturze. Narzędziem, które umożliwia ten dialog jest dekonstrukcja. Właśnie poprzez nią można wykroczyć poza własną kulturę i otworzyć się na inną. Zastosowanie narzędzi umożliwiających dystans wobec własnej kultury (dekonstrukcja) umożliwi zarówno wejście w rolę przewodnika po własnej kulturze wobec obcokrajowca z innej kultury, jak i poruszanie się ze zrozumieniem po świecie innej kultury, gdy przewodnikiem staje się druga strona. Jest to sytuacja komunikacji, dialogu. Umiejętność takiej komunikacji otwiera pole do kolejnego etapu – wspólnej pracy (uczenia się, badań, projektów), w której obie strony tworzą już nowe pojęcia, nowe narzędzia. Jest to proces wymiany wiedzy. Proces takiej komunikacji, z jednej strony, mógłby pomóc w przezwyciężeniu problemów adaptacyjnych, które przeżywa niemal każdy student-cudzoziemiec na UW. Z drugiej otwierałby drogę do tworzenia bardziej innowacyjnych i interaktywnych programów dla obcokrajowców na UW.</w:t>
            </w:r>
          </w:p>
          <w:p w14:paraId="15B4BD49"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tc>
      </w:tr>
      <w:tr w:rsidR="008E79D4" w:rsidRPr="00696628" w14:paraId="15B4BD4D" w14:textId="77777777">
        <w:trPr>
          <w:trHeight w:val="1020"/>
        </w:trPr>
        <w:tc>
          <w:tcPr>
            <w:tcW w:w="3837" w:type="dxa"/>
            <w:gridSpan w:val="2"/>
            <w:tcBorders>
              <w:top w:val="single" w:sz="8" w:space="0" w:color="000000"/>
              <w:left w:val="single" w:sz="8" w:space="0" w:color="000000"/>
              <w:bottom w:val="single" w:sz="8" w:space="0" w:color="000000"/>
              <w:right w:val="single" w:sz="8" w:space="0" w:color="000000"/>
            </w:tcBorders>
          </w:tcPr>
          <w:p w14:paraId="15B4BD4B"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b/>
                <w:sz w:val="24"/>
                <w:szCs w:val="24"/>
                <w:lang w:val="pl-PL"/>
              </w:rPr>
              <w:t>Forma</w:t>
            </w:r>
            <w:r w:rsidRPr="00377F0C">
              <w:rPr>
                <w:rFonts w:ascii="Times New Roman" w:eastAsia="Times New Roman" w:hAnsi="Times New Roman" w:cs="Times New Roman"/>
                <w:sz w:val="24"/>
                <w:szCs w:val="24"/>
                <w:lang w:val="pl-PL"/>
              </w:rPr>
              <w:t>(y)/</w:t>
            </w:r>
            <w:r w:rsidRPr="00377F0C">
              <w:rPr>
                <w:rFonts w:ascii="Times New Roman" w:eastAsia="Times New Roman" w:hAnsi="Times New Roman" w:cs="Times New Roman"/>
                <w:b/>
                <w:sz w:val="24"/>
                <w:szCs w:val="24"/>
                <w:lang w:val="pl-PL"/>
              </w:rPr>
              <w:t>typ</w:t>
            </w:r>
            <w:r w:rsidRPr="00377F0C">
              <w:rPr>
                <w:rFonts w:ascii="Times New Roman" w:eastAsia="Times New Roman" w:hAnsi="Times New Roman" w:cs="Times New Roman"/>
                <w:sz w:val="24"/>
                <w:szCs w:val="24"/>
                <w:lang w:val="pl-PL"/>
              </w:rPr>
              <w:t xml:space="preserve">(y) </w:t>
            </w:r>
            <w:r w:rsidRPr="00377F0C">
              <w:rPr>
                <w:rFonts w:ascii="Times New Roman" w:eastAsia="Times New Roman" w:hAnsi="Times New Roman" w:cs="Times New Roman"/>
                <w:b/>
                <w:sz w:val="24"/>
                <w:szCs w:val="24"/>
                <w:lang w:val="pl-PL"/>
              </w:rPr>
              <w:t xml:space="preserve">zajęć </w:t>
            </w:r>
          </w:p>
        </w:tc>
        <w:tc>
          <w:tcPr>
            <w:tcW w:w="6662" w:type="dxa"/>
            <w:gridSpan w:val="2"/>
            <w:tcBorders>
              <w:top w:val="single" w:sz="8" w:space="0" w:color="000000"/>
              <w:left w:val="single" w:sz="8" w:space="0" w:color="000000"/>
              <w:bottom w:val="single" w:sz="8" w:space="0" w:color="000000"/>
              <w:right w:val="single" w:sz="8" w:space="0" w:color="000000"/>
            </w:tcBorders>
          </w:tcPr>
          <w:p w14:paraId="15B4BD4C"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Cykl z 5 zintegrowanych bloków prowadzonych w trybie seminarium oraz warsztatów</w:t>
            </w:r>
          </w:p>
        </w:tc>
      </w:tr>
      <w:tr w:rsidR="008E79D4" w:rsidRPr="00696628" w14:paraId="15B4BD6A" w14:textId="77777777">
        <w:trPr>
          <w:trHeight w:val="21780"/>
        </w:trPr>
        <w:tc>
          <w:tcPr>
            <w:tcW w:w="3837" w:type="dxa"/>
            <w:gridSpan w:val="2"/>
            <w:tcBorders>
              <w:top w:val="single" w:sz="8" w:space="0" w:color="000000"/>
              <w:left w:val="single" w:sz="8" w:space="0" w:color="000000"/>
              <w:bottom w:val="single" w:sz="8" w:space="0" w:color="000000"/>
              <w:right w:val="single" w:sz="8" w:space="0" w:color="000000"/>
            </w:tcBorders>
          </w:tcPr>
          <w:p w14:paraId="15B4BD4E"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Pełny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przedmiotu</w:t>
            </w:r>
            <w:proofErr w:type="spellEnd"/>
            <w:r>
              <w:rPr>
                <w:rFonts w:ascii="Times New Roman" w:eastAsia="Times New Roman" w:hAnsi="Times New Roman" w:cs="Times New Roman"/>
                <w:sz w:val="24"/>
                <w:szCs w:val="24"/>
              </w:rPr>
              <w:t xml:space="preserve"> </w:t>
            </w:r>
          </w:p>
        </w:tc>
        <w:tc>
          <w:tcPr>
            <w:tcW w:w="6662" w:type="dxa"/>
            <w:gridSpan w:val="2"/>
            <w:tcBorders>
              <w:top w:val="single" w:sz="8" w:space="0" w:color="000000"/>
              <w:left w:val="single" w:sz="8" w:space="0" w:color="000000"/>
              <w:bottom w:val="single" w:sz="8" w:space="0" w:color="000000"/>
              <w:right w:val="single" w:sz="8" w:space="0" w:color="000000"/>
            </w:tcBorders>
          </w:tcPr>
          <w:p w14:paraId="15B4BD4F" w14:textId="77777777" w:rsidR="008E79D4" w:rsidRPr="00377F0C" w:rsidRDefault="00AF3D1B">
            <w:pPr>
              <w:spacing w:after="0" w:line="240" w:lineRule="auto"/>
              <w:ind w:firstLine="284"/>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Cykl dotyczy zagadnień możliwości przekroczenia granicy kulturowej (cywilizacyjnej) i oparty jest na modelu współpracy z cudzoziemcami z innych cywilizacji. </w:t>
            </w:r>
          </w:p>
          <w:p w14:paraId="15B4BD50" w14:textId="77777777" w:rsidR="008E79D4" w:rsidRPr="00377F0C" w:rsidRDefault="00AF3D1B">
            <w:pPr>
              <w:spacing w:after="0" w:line="240" w:lineRule="auto"/>
              <w:ind w:firstLine="284"/>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W ramach cyklu proponujemy model kształcenia, który nazwiemy DCL, </w:t>
            </w:r>
            <w:r w:rsidRPr="00377F0C">
              <w:rPr>
                <w:rFonts w:ascii="Times New Roman" w:eastAsia="Times New Roman" w:hAnsi="Times New Roman" w:cs="Times New Roman"/>
                <w:i/>
                <w:sz w:val="24"/>
                <w:szCs w:val="24"/>
                <w:lang w:val="pl-PL"/>
              </w:rPr>
              <w:t>Dialogue-Centered Learning.</w:t>
            </w:r>
            <w:r w:rsidRPr="00377F0C">
              <w:rPr>
                <w:rFonts w:ascii="Times New Roman" w:eastAsia="Times New Roman" w:hAnsi="Times New Roman" w:cs="Times New Roman"/>
                <w:sz w:val="24"/>
                <w:szCs w:val="24"/>
                <w:lang w:val="pl-PL"/>
              </w:rPr>
              <w:t xml:space="preserve"> W różnego rodzaju sytuacjach współdziałania na zajęciach uczestniczący aktorzy są równoznacznymi aktywnymi uczestnikami dialogu/dekonstrukcji. </w:t>
            </w:r>
          </w:p>
          <w:p w14:paraId="15B4BD51" w14:textId="77777777" w:rsidR="008E79D4" w:rsidRPr="00377F0C" w:rsidRDefault="00AF3D1B">
            <w:pPr>
              <w:spacing w:after="0" w:line="240" w:lineRule="auto"/>
              <w:ind w:firstLine="284"/>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Dekonstrukcja nie jest po prostu krytyką, ale też budowaniem czegoś nowego. Nie tylko sprawia ona, że aktorzy wychodzą poza znany dotąd krąg znaczeń, ale i kieruje ich ku nowemu kontekstowi, w którym mogą oni odkryć lub też zbudować warunki do dialogu.</w:t>
            </w:r>
          </w:p>
          <w:p w14:paraId="15B4BD52" w14:textId="77777777" w:rsidR="008E79D4" w:rsidRPr="00377F0C" w:rsidRDefault="00AF3D1B">
            <w:pPr>
              <w:spacing w:after="0" w:line="240" w:lineRule="auto"/>
              <w:ind w:firstLine="284"/>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W modelu DCL istotna wydaje się propozycja, by dodać do wymiaru opartego na substancjalnym modelu myślenia na zasadzie podobieństwa inny wymiar, wykorzystujący zasadę zróżnicowania (</w:t>
            </w:r>
            <w:r w:rsidRPr="00377F0C">
              <w:rPr>
                <w:rFonts w:ascii="Times New Roman" w:eastAsia="Times New Roman" w:hAnsi="Times New Roman" w:cs="Times New Roman"/>
                <w:i/>
                <w:sz w:val="24"/>
                <w:szCs w:val="24"/>
                <w:lang w:val="pl-PL"/>
              </w:rPr>
              <w:t>différance</w:t>
            </w:r>
            <w:r w:rsidRPr="00377F0C">
              <w:rPr>
                <w:rFonts w:ascii="Times New Roman" w:eastAsia="Times New Roman" w:hAnsi="Times New Roman" w:cs="Times New Roman"/>
                <w:sz w:val="24"/>
                <w:szCs w:val="24"/>
                <w:lang w:val="pl-PL"/>
              </w:rPr>
              <w:t>, wg Jacques'a Derridy), czyli zmienności. Oznacza to, że dzięki obecności jego elementów w różnych cywilizacjach taki relacyjny model komunikacji może być metodą, która przyczyni się do lepszej komunikacji Wschodu i Zachodu.</w:t>
            </w:r>
          </w:p>
          <w:p w14:paraId="15B4BD53" w14:textId="77777777" w:rsidR="008E79D4" w:rsidRPr="00377F0C" w:rsidRDefault="00AF3D1B">
            <w:pPr>
              <w:spacing w:after="0" w:line="240" w:lineRule="auto"/>
              <w:ind w:firstLine="284"/>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Program adaptacyjno-dydaktyczny dla studentów- obcokrajowców uwzględnia przede wszystkim konteksty tworzące warunki do komunikacji międzycywilizacyjnej. Cykl zawiera pięć bloków: </w:t>
            </w:r>
          </w:p>
          <w:p w14:paraId="15B4BD54" w14:textId="77777777" w:rsidR="008E79D4" w:rsidRPr="00377F0C" w:rsidRDefault="00AF3D1B">
            <w:pPr>
              <w:spacing w:after="0" w:line="240" w:lineRule="auto"/>
              <w:ind w:firstLine="284"/>
              <w:jc w:val="both"/>
              <w:rPr>
                <w:rFonts w:ascii="Times New Roman" w:eastAsia="Times New Roman" w:hAnsi="Times New Roman" w:cs="Times New Roman"/>
                <w:b/>
                <w:sz w:val="24"/>
                <w:szCs w:val="24"/>
                <w:lang w:val="pl-PL"/>
              </w:rPr>
            </w:pPr>
            <w:r w:rsidRPr="00377F0C">
              <w:rPr>
                <w:rFonts w:ascii="Times New Roman" w:eastAsia="Times New Roman" w:hAnsi="Times New Roman" w:cs="Times New Roman"/>
                <w:sz w:val="24"/>
                <w:szCs w:val="24"/>
                <w:lang w:val="pl-PL"/>
              </w:rPr>
              <w:t>1.</w:t>
            </w:r>
            <w:r w:rsidRPr="00377F0C">
              <w:rPr>
                <w:rFonts w:ascii="Times New Roman" w:eastAsia="Times New Roman" w:hAnsi="Times New Roman" w:cs="Times New Roman"/>
                <w:b/>
                <w:sz w:val="24"/>
                <w:szCs w:val="24"/>
                <w:lang w:val="pl-PL"/>
              </w:rPr>
              <w:t>Komunikacja międzykulturowa - psychologia transkulturowa.</w:t>
            </w:r>
          </w:p>
          <w:p w14:paraId="15B4BD55" w14:textId="77777777" w:rsidR="008E79D4" w:rsidRPr="00377F0C" w:rsidRDefault="00AF3D1B">
            <w:pPr>
              <w:spacing w:after="0" w:line="240" w:lineRule="auto"/>
              <w:ind w:firstLine="284"/>
              <w:jc w:val="both"/>
              <w:rPr>
                <w:rFonts w:ascii="Times New Roman" w:eastAsia="Times New Roman" w:hAnsi="Times New Roman" w:cs="Times New Roman"/>
                <w:b/>
                <w:sz w:val="24"/>
                <w:szCs w:val="24"/>
                <w:lang w:val="pl-PL"/>
              </w:rPr>
            </w:pPr>
            <w:r w:rsidRPr="00377F0C">
              <w:rPr>
                <w:rFonts w:ascii="Times New Roman" w:eastAsia="Times New Roman" w:hAnsi="Times New Roman" w:cs="Times New Roman"/>
                <w:b/>
                <w:sz w:val="24"/>
                <w:szCs w:val="24"/>
                <w:lang w:val="pl-PL"/>
              </w:rPr>
              <w:t>2. Globalizacja. Pogranicza cywilizacyjne.</w:t>
            </w:r>
          </w:p>
          <w:p w14:paraId="15B4BD56" w14:textId="77777777" w:rsidR="008E79D4" w:rsidRPr="00377F0C" w:rsidRDefault="00AF3D1B">
            <w:pPr>
              <w:spacing w:after="0" w:line="240" w:lineRule="auto"/>
              <w:ind w:firstLine="284"/>
              <w:jc w:val="both"/>
              <w:rPr>
                <w:rFonts w:ascii="Times New Roman" w:eastAsia="Times New Roman" w:hAnsi="Times New Roman" w:cs="Times New Roman"/>
                <w:b/>
                <w:sz w:val="24"/>
                <w:szCs w:val="24"/>
                <w:lang w:val="pl-PL"/>
              </w:rPr>
            </w:pPr>
            <w:r w:rsidRPr="00377F0C">
              <w:rPr>
                <w:rFonts w:ascii="Times New Roman" w:eastAsia="Times New Roman" w:hAnsi="Times New Roman" w:cs="Times New Roman"/>
                <w:b/>
                <w:sz w:val="24"/>
                <w:szCs w:val="24"/>
                <w:lang w:val="pl-PL"/>
              </w:rPr>
              <w:t>3. Historia kontaktów cywilizacyjnych</w:t>
            </w:r>
          </w:p>
          <w:p w14:paraId="15B4BD57" w14:textId="77777777" w:rsidR="008E79D4" w:rsidRPr="00377F0C" w:rsidRDefault="00AF3D1B">
            <w:pPr>
              <w:spacing w:after="0" w:line="240" w:lineRule="auto"/>
              <w:ind w:firstLine="284"/>
              <w:jc w:val="both"/>
              <w:rPr>
                <w:rFonts w:ascii="Times New Roman" w:eastAsia="Times New Roman" w:hAnsi="Times New Roman" w:cs="Times New Roman"/>
                <w:b/>
                <w:sz w:val="24"/>
                <w:szCs w:val="24"/>
                <w:lang w:val="pl-PL"/>
              </w:rPr>
            </w:pPr>
            <w:r w:rsidRPr="00377F0C">
              <w:rPr>
                <w:rFonts w:ascii="Times New Roman" w:eastAsia="Times New Roman" w:hAnsi="Times New Roman" w:cs="Times New Roman"/>
                <w:b/>
                <w:sz w:val="24"/>
                <w:szCs w:val="24"/>
                <w:lang w:val="pl-PL"/>
              </w:rPr>
              <w:t>4. Codzienność bycia. Antropologiczne ujęcie zagadnień społecznych.</w:t>
            </w:r>
          </w:p>
          <w:p w14:paraId="15B4BD58" w14:textId="77777777" w:rsidR="008E79D4" w:rsidRPr="00377F0C" w:rsidRDefault="00AF3D1B">
            <w:pPr>
              <w:spacing w:after="0" w:line="240" w:lineRule="auto"/>
              <w:ind w:firstLine="284"/>
              <w:jc w:val="both"/>
              <w:rPr>
                <w:rFonts w:ascii="Times New Roman" w:eastAsia="Times New Roman" w:hAnsi="Times New Roman" w:cs="Times New Roman"/>
                <w:b/>
                <w:sz w:val="24"/>
                <w:szCs w:val="24"/>
                <w:lang w:val="pl-PL"/>
              </w:rPr>
            </w:pPr>
            <w:r w:rsidRPr="00377F0C">
              <w:rPr>
                <w:rFonts w:ascii="Times New Roman" w:eastAsia="Times New Roman" w:hAnsi="Times New Roman" w:cs="Times New Roman"/>
                <w:b/>
                <w:sz w:val="24"/>
                <w:szCs w:val="24"/>
                <w:lang w:val="pl-PL"/>
              </w:rPr>
              <w:t>5. Świat duchowy: Religia, Filozofia, Sztuka, Literatura a różnorodność cywilizacyjna.</w:t>
            </w:r>
          </w:p>
          <w:p w14:paraId="15B4BD59" w14:textId="77777777" w:rsidR="008E79D4" w:rsidRPr="00377F0C" w:rsidRDefault="00AF3D1B">
            <w:pPr>
              <w:spacing w:after="0" w:line="240" w:lineRule="auto"/>
              <w:ind w:firstLine="284"/>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Poszczególne cywilizacje ujmowane są w następujących kontekstach: </w:t>
            </w:r>
          </w:p>
          <w:p w14:paraId="15B4BD5A" w14:textId="77777777" w:rsidR="008E79D4" w:rsidRPr="00377F0C" w:rsidRDefault="00AF3D1B">
            <w:pPr>
              <w:spacing w:after="0" w:line="240" w:lineRule="auto"/>
              <w:ind w:firstLine="284"/>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społeczeństwo (kontekst więzi społecznych − polityka, prawo, wspólnota itd),</w:t>
            </w:r>
          </w:p>
          <w:p w14:paraId="15B4BD5B" w14:textId="77777777" w:rsidR="008E79D4" w:rsidRPr="00377F0C" w:rsidRDefault="00AF3D1B">
            <w:pPr>
              <w:spacing w:after="0" w:line="240" w:lineRule="auto"/>
              <w:ind w:firstLine="284"/>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gospodarka (kontekst więzi ekonomicznych − gospodarka, ekonomika),</w:t>
            </w:r>
          </w:p>
          <w:p w14:paraId="15B4BD5C" w14:textId="77777777" w:rsidR="008E79D4" w:rsidRPr="00377F0C" w:rsidRDefault="00AF3D1B">
            <w:pPr>
              <w:spacing w:after="0" w:line="240" w:lineRule="auto"/>
              <w:ind w:firstLine="284"/>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psychosomatyczne aspekty jednostki (kontekst więzi pokrewieństwa, psychosomatyki, zdrowia jednostki - rodzina, zdrowie),</w:t>
            </w:r>
          </w:p>
          <w:p w14:paraId="15B4BD5D" w14:textId="77777777" w:rsidR="008E79D4" w:rsidRPr="00377F0C" w:rsidRDefault="00AF3D1B">
            <w:pPr>
              <w:spacing w:after="0" w:line="240" w:lineRule="auto"/>
              <w:ind w:firstLine="284"/>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życie duchowe (kontekst więzi duchowych: edukacja, religia, filozofia, sztuka itd.),</w:t>
            </w:r>
          </w:p>
          <w:p w14:paraId="15B4BD5E" w14:textId="77777777" w:rsidR="008E79D4" w:rsidRPr="00377F0C" w:rsidRDefault="00AF3D1B">
            <w:pPr>
              <w:spacing w:after="0" w:line="240" w:lineRule="auto"/>
              <w:ind w:firstLine="284"/>
              <w:jc w:val="both"/>
              <w:rPr>
                <w:rFonts w:ascii="Times New Roman" w:eastAsia="Times New Roman" w:hAnsi="Times New Roman" w:cs="Times New Roman"/>
                <w:b/>
                <w:sz w:val="24"/>
                <w:szCs w:val="24"/>
                <w:lang w:val="pl-PL"/>
              </w:rPr>
            </w:pPr>
            <w:r w:rsidRPr="00377F0C">
              <w:rPr>
                <w:rFonts w:ascii="Times New Roman" w:eastAsia="Times New Roman" w:hAnsi="Times New Roman" w:cs="Times New Roman"/>
                <w:sz w:val="24"/>
                <w:szCs w:val="24"/>
                <w:lang w:val="pl-PL"/>
              </w:rPr>
              <w:t xml:space="preserve">- kontekst wirtualny: przestrzeń wirtualna złamała wcześniejsze podziały (instytucjonalne, narodowościowe) i unaoczniła problemy barier (terytorialnych, komunikacyjnych, międzyludzkich). Program przewiduje interaktywne sposoby nauczania (utworzenie, wspólnie ze studentami, interaktywnych kompendiów naukowych, edukacyjnych stron internetowych, opracowanie przez studentów projektów multimedialnych, realizacja studenckiej działalności badawczej i projektowej, </w:t>
            </w:r>
            <w:r w:rsidRPr="00377F0C">
              <w:rPr>
                <w:rFonts w:ascii="Times New Roman" w:eastAsia="Times New Roman" w:hAnsi="Times New Roman" w:cs="Times New Roman"/>
                <w:sz w:val="24"/>
                <w:szCs w:val="24"/>
                <w:lang w:val="pl-PL"/>
              </w:rPr>
              <w:lastRenderedPageBreak/>
              <w:t>prowadzenie szkoleń z komunikacji itp.).</w:t>
            </w:r>
          </w:p>
          <w:p w14:paraId="15B4BD5F" w14:textId="77777777" w:rsidR="008E79D4" w:rsidRPr="00377F0C" w:rsidRDefault="00AF3D1B">
            <w:pPr>
              <w:spacing w:after="0" w:line="240" w:lineRule="auto"/>
              <w:ind w:firstLine="284"/>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Współpraca na zajęciach charakteryzuje się następującymi cechami:</w:t>
            </w:r>
          </w:p>
          <w:p w14:paraId="15B4BD60" w14:textId="77777777" w:rsidR="008E79D4" w:rsidRPr="00377F0C" w:rsidRDefault="00AF3D1B">
            <w:pPr>
              <w:spacing w:after="0" w:line="240" w:lineRule="auto"/>
              <w:ind w:firstLine="284"/>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1) otwartość, rozumianą w aspekcie policentrycznym, który uwzględnia perspektywy różnych cywilizacji.</w:t>
            </w:r>
          </w:p>
          <w:p w14:paraId="15B4BD61" w14:textId="77777777" w:rsidR="008E79D4" w:rsidRPr="00377F0C" w:rsidRDefault="00AF3D1B">
            <w:pPr>
              <w:spacing w:after="0" w:line="240" w:lineRule="auto"/>
              <w:ind w:firstLine="284"/>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2) interaktywność, jej mechanizmami są: wielopodmiotowość, dekonstrukcja i dialog. Założeniem interakcji aktorów jest spotkanie przedstawicieli różnych cywilizacji, z tego względu uczestnikami są także polscy studenci. To oni, jako strona przyjmująca, pomagają cudzoziemcowi adaptować się w Polsce. Zarazem nabycie w praktyce umiejętności komunikacji międzycywilizacyjnej umożliwia polskim studentom i naukowcom aktywność w kontaktach międzynarodowych. Program zakłada rozszerzenie sfery międzynarodowych kontaktów naukowych, a także stworzenie atmosfery „otwartej przestrzeni” na Uniwersytecie Warszawskim.</w:t>
            </w:r>
          </w:p>
          <w:p w14:paraId="15B4BD62" w14:textId="77777777" w:rsidR="008E79D4" w:rsidRPr="00377F0C" w:rsidRDefault="00AF3D1B">
            <w:pPr>
              <w:spacing w:after="0" w:line="240" w:lineRule="auto"/>
              <w:ind w:firstLine="284"/>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3) interdyscyplinarność, uwzględniająca różne obrazy świata, czyli kultury. Praca nad rozwiązywaniem problemu naukowego toczy się z uwzględnieniem interdyscyplinarności: w gronie naukowców, kół badawczych, przy tworzeniu projektów.</w:t>
            </w:r>
          </w:p>
          <w:p w14:paraId="15B4BD63" w14:textId="77777777" w:rsidR="008E79D4" w:rsidRPr="00377F0C" w:rsidRDefault="00AF3D1B">
            <w:pPr>
              <w:spacing w:after="0" w:line="240" w:lineRule="auto"/>
              <w:ind w:firstLine="284"/>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4) innowacyjność, która oznacza otwarcie nowych perspektyw dla poszukiwania wiedzy w procesie umiędzynarodowienia.</w:t>
            </w:r>
          </w:p>
          <w:p w14:paraId="15B4BD64" w14:textId="77777777" w:rsidR="008E79D4" w:rsidRPr="00377F0C" w:rsidRDefault="008E79D4">
            <w:pPr>
              <w:spacing w:after="0" w:line="240" w:lineRule="auto"/>
              <w:ind w:firstLine="284"/>
              <w:jc w:val="both"/>
              <w:rPr>
                <w:rFonts w:ascii="Times New Roman" w:eastAsia="Times New Roman" w:hAnsi="Times New Roman" w:cs="Times New Roman"/>
                <w:sz w:val="24"/>
                <w:szCs w:val="24"/>
                <w:lang w:val="pl-PL"/>
              </w:rPr>
            </w:pPr>
          </w:p>
          <w:p w14:paraId="15B4BD65" w14:textId="77777777" w:rsidR="008E79D4" w:rsidRPr="00377F0C" w:rsidRDefault="00AF3D1B">
            <w:pPr>
              <w:spacing w:after="0" w:line="240" w:lineRule="auto"/>
              <w:ind w:firstLine="284"/>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W części B podane szczegóły tematów według bloków cyklu.</w:t>
            </w:r>
          </w:p>
          <w:p w14:paraId="15B4BD66" w14:textId="77777777" w:rsidR="008E79D4" w:rsidRPr="00377F0C" w:rsidRDefault="008E79D4">
            <w:pPr>
              <w:spacing w:after="0" w:line="240" w:lineRule="auto"/>
              <w:ind w:firstLine="284"/>
              <w:jc w:val="both"/>
              <w:rPr>
                <w:rFonts w:ascii="Times New Roman" w:eastAsia="Times New Roman" w:hAnsi="Times New Roman" w:cs="Times New Roman"/>
                <w:sz w:val="24"/>
                <w:szCs w:val="24"/>
                <w:lang w:val="pl-PL"/>
              </w:rPr>
            </w:pPr>
          </w:p>
          <w:p w14:paraId="15B4BD67" w14:textId="77777777" w:rsidR="008E79D4" w:rsidRPr="00377F0C" w:rsidRDefault="008E79D4">
            <w:pPr>
              <w:spacing w:after="0" w:line="240" w:lineRule="auto"/>
              <w:rPr>
                <w:rFonts w:ascii="Times New Roman" w:eastAsia="Times New Roman" w:hAnsi="Times New Roman" w:cs="Times New Roman"/>
                <w:sz w:val="24"/>
                <w:szCs w:val="24"/>
                <w:lang w:val="pl-PL"/>
              </w:rPr>
            </w:pPr>
          </w:p>
          <w:p w14:paraId="15B4BD68" w14:textId="77777777" w:rsidR="008E79D4" w:rsidRPr="00377F0C" w:rsidRDefault="008E79D4">
            <w:pPr>
              <w:spacing w:after="0" w:line="240" w:lineRule="auto"/>
              <w:rPr>
                <w:rFonts w:ascii="Times New Roman" w:eastAsia="Times New Roman" w:hAnsi="Times New Roman" w:cs="Times New Roman"/>
                <w:sz w:val="24"/>
                <w:szCs w:val="24"/>
                <w:lang w:val="pl-PL"/>
              </w:rPr>
            </w:pPr>
          </w:p>
          <w:p w14:paraId="15B4BD69" w14:textId="77777777" w:rsidR="008E79D4" w:rsidRPr="00377F0C" w:rsidRDefault="008E79D4">
            <w:pPr>
              <w:spacing w:after="0" w:line="240" w:lineRule="auto"/>
              <w:rPr>
                <w:rFonts w:ascii="Times New Roman" w:eastAsia="Times New Roman" w:hAnsi="Times New Roman" w:cs="Times New Roman"/>
                <w:sz w:val="24"/>
                <w:szCs w:val="24"/>
                <w:lang w:val="pl-PL"/>
              </w:rPr>
            </w:pPr>
          </w:p>
        </w:tc>
      </w:tr>
      <w:tr w:rsidR="008E79D4" w14:paraId="15B4BD6E" w14:textId="77777777">
        <w:trPr>
          <w:trHeight w:val="240"/>
        </w:trPr>
        <w:tc>
          <w:tcPr>
            <w:tcW w:w="3837" w:type="dxa"/>
            <w:gridSpan w:val="2"/>
            <w:vMerge w:val="restart"/>
            <w:tcBorders>
              <w:top w:val="single" w:sz="8" w:space="0" w:color="000000"/>
              <w:left w:val="single" w:sz="8" w:space="0" w:color="000000"/>
              <w:bottom w:val="single" w:sz="8" w:space="0" w:color="000000"/>
              <w:right w:val="single" w:sz="8" w:space="0" w:color="000000"/>
            </w:tcBorders>
          </w:tcPr>
          <w:p w14:paraId="15B4BD6B"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Wymagania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wstępne</w:t>
            </w:r>
            <w:proofErr w:type="spellEnd"/>
            <w:r>
              <w:rPr>
                <w:rFonts w:ascii="Times New Roman" w:eastAsia="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14:paraId="15B4BD6C"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Wymagania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formalne</w:t>
            </w:r>
            <w:proofErr w:type="spellEnd"/>
            <w:r>
              <w:rPr>
                <w:rFonts w:ascii="Times New Roman" w:eastAsia="Times New Roman" w:hAnsi="Times New Roman" w:cs="Times New Roman"/>
                <w:sz w:val="24"/>
                <w:szCs w:val="24"/>
              </w:rPr>
              <w:t xml:space="preserve"> </w:t>
            </w:r>
          </w:p>
        </w:tc>
        <w:tc>
          <w:tcPr>
            <w:tcW w:w="4819" w:type="dxa"/>
            <w:tcBorders>
              <w:top w:val="single" w:sz="8" w:space="0" w:color="000000"/>
              <w:left w:val="single" w:sz="8" w:space="0" w:color="000000"/>
              <w:bottom w:val="single" w:sz="8" w:space="0" w:color="000000"/>
              <w:right w:val="single" w:sz="8" w:space="0" w:color="000000"/>
            </w:tcBorders>
          </w:tcPr>
          <w:p w14:paraId="15B4BD6D" w14:textId="77777777" w:rsidR="008E79D4" w:rsidRDefault="008E79D4">
            <w:pPr>
              <w:spacing w:after="0" w:line="240" w:lineRule="auto"/>
              <w:jc w:val="both"/>
              <w:rPr>
                <w:rFonts w:ascii="Times New Roman" w:eastAsia="Times New Roman" w:hAnsi="Times New Roman" w:cs="Times New Roman"/>
                <w:sz w:val="24"/>
                <w:szCs w:val="24"/>
              </w:rPr>
            </w:pPr>
          </w:p>
        </w:tc>
      </w:tr>
      <w:tr w:rsidR="008E79D4" w14:paraId="15B4BD72" w14:textId="77777777">
        <w:trPr>
          <w:trHeight w:val="560"/>
        </w:trPr>
        <w:tc>
          <w:tcPr>
            <w:tcW w:w="3837" w:type="dxa"/>
            <w:gridSpan w:val="2"/>
            <w:vMerge/>
            <w:tcBorders>
              <w:top w:val="single" w:sz="8" w:space="0" w:color="000000"/>
              <w:left w:val="single" w:sz="8" w:space="0" w:color="000000"/>
              <w:bottom w:val="single" w:sz="8" w:space="0" w:color="000000"/>
              <w:right w:val="single" w:sz="8" w:space="0" w:color="000000"/>
            </w:tcBorders>
          </w:tcPr>
          <w:p w14:paraId="15B4BD6F" w14:textId="77777777" w:rsidR="008E79D4" w:rsidRDefault="008E79D4">
            <w:pPr>
              <w:rPr>
                <w:rFonts w:ascii="Times New Roman" w:eastAsia="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14:paraId="15B4BD70"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Założenia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wstępne</w:t>
            </w:r>
            <w:proofErr w:type="spellEnd"/>
            <w:r>
              <w:rPr>
                <w:rFonts w:ascii="Times New Roman" w:eastAsia="Times New Roman" w:hAnsi="Times New Roman" w:cs="Times New Roman"/>
                <w:sz w:val="24"/>
                <w:szCs w:val="24"/>
              </w:rPr>
              <w:t xml:space="preserve"> </w:t>
            </w:r>
          </w:p>
        </w:tc>
        <w:tc>
          <w:tcPr>
            <w:tcW w:w="4819" w:type="dxa"/>
            <w:tcBorders>
              <w:top w:val="single" w:sz="8" w:space="0" w:color="000000"/>
              <w:left w:val="single" w:sz="8" w:space="0" w:color="000000"/>
              <w:bottom w:val="single" w:sz="8" w:space="0" w:color="000000"/>
              <w:right w:val="single" w:sz="8" w:space="0" w:color="000000"/>
            </w:tcBorders>
          </w:tcPr>
          <w:p w14:paraId="15B4BD71"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Podstawowa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wiedza</w:t>
            </w:r>
            <w:proofErr w:type="spellEnd"/>
            <w:r>
              <w:rPr>
                <w:rFonts w:ascii="Times New Roman" w:eastAsia="Times New Roman" w:hAnsi="Times New Roman" w:cs="Times New Roman"/>
                <w:sz w:val="24"/>
                <w:szCs w:val="24"/>
              </w:rPr>
              <w:t xml:space="preserve"> z </w:t>
            </w:r>
            <w:proofErr w:type="spellStart"/>
            <w:r>
              <w:rPr>
                <w:rFonts w:ascii="Times New Roman" w:eastAsia="Times New Roman" w:hAnsi="Times New Roman" w:cs="Times New Roman"/>
                <w:sz w:val="24"/>
                <w:szCs w:val="24"/>
              </w:rPr>
              <w:t>kulturoznawstwa</w:t>
            </w:r>
            <w:proofErr w:type="spellEnd"/>
          </w:p>
        </w:tc>
      </w:tr>
      <w:tr w:rsidR="008E79D4" w14:paraId="15B4BDA9" w14:textId="77777777">
        <w:trPr>
          <w:trHeight w:val="560"/>
        </w:trPr>
        <w:tc>
          <w:tcPr>
            <w:tcW w:w="10499" w:type="dxa"/>
            <w:gridSpan w:val="4"/>
            <w:tcBorders>
              <w:top w:val="single" w:sz="8" w:space="0" w:color="000000"/>
              <w:left w:val="single" w:sz="8" w:space="0" w:color="000000"/>
              <w:bottom w:val="single" w:sz="8" w:space="0" w:color="000000"/>
              <w:right w:val="single" w:sz="8" w:space="0" w:color="000000"/>
            </w:tcBorders>
          </w:tcPr>
          <w:p w14:paraId="15B4BD73" w14:textId="77777777" w:rsidR="008E79D4" w:rsidRDefault="008E79D4">
            <w:pPr>
              <w:spacing w:after="0" w:line="240" w:lineRule="auto"/>
              <w:rPr>
                <w:rFonts w:ascii="Times New Roman" w:eastAsia="Times New Roman" w:hAnsi="Times New Roman" w:cs="Times New Roman"/>
                <w:sz w:val="24"/>
                <w:szCs w:val="24"/>
              </w:rPr>
            </w:pPr>
          </w:p>
          <w:p w14:paraId="15B4BD74" w14:textId="77777777" w:rsidR="008E79D4" w:rsidRDefault="008E79D4">
            <w:pPr>
              <w:spacing w:after="0" w:line="240" w:lineRule="auto"/>
              <w:rPr>
                <w:rFonts w:ascii="Times New Roman" w:eastAsia="Times New Roman" w:hAnsi="Times New Roman" w:cs="Times New Roman"/>
                <w:sz w:val="24"/>
                <w:szCs w:val="24"/>
              </w:rPr>
            </w:pPr>
          </w:p>
          <w:tbl>
            <w:tblPr>
              <w:tblStyle w:val="a"/>
              <w:tblW w:w="10469" w:type="dxa"/>
              <w:tblInd w:w="62" w:type="dxa"/>
              <w:tblBorders>
                <w:top w:val="nil"/>
                <w:left w:val="nil"/>
                <w:bottom w:val="nil"/>
                <w:right w:val="nil"/>
              </w:tblBorders>
              <w:tblLayout w:type="fixed"/>
              <w:tblLook w:val="0000" w:firstRow="0" w:lastRow="0" w:firstColumn="0" w:lastColumn="0" w:noHBand="0" w:noVBand="0"/>
            </w:tblPr>
            <w:tblGrid>
              <w:gridCol w:w="3657"/>
              <w:gridCol w:w="6812"/>
            </w:tblGrid>
            <w:tr w:rsidR="008E79D4" w14:paraId="15B4BD7D" w14:textId="77777777">
              <w:trPr>
                <w:trHeight w:val="2180"/>
              </w:trPr>
              <w:tc>
                <w:tcPr>
                  <w:tcW w:w="3657" w:type="dxa"/>
                  <w:tcBorders>
                    <w:top w:val="single" w:sz="8" w:space="0" w:color="000000"/>
                    <w:left w:val="single" w:sz="8" w:space="0" w:color="000000"/>
                    <w:bottom w:val="single" w:sz="8" w:space="0" w:color="000000"/>
                    <w:right w:val="single" w:sz="8" w:space="0" w:color="000000"/>
                  </w:tcBorders>
                </w:tcPr>
                <w:p w14:paraId="15B4BD75"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Efekty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uczenia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się</w:t>
                  </w:r>
                  <w:proofErr w:type="spellEnd"/>
                  <w:r>
                    <w:rPr>
                      <w:rFonts w:ascii="Times New Roman" w:eastAsia="Times New Roman" w:hAnsi="Times New Roman" w:cs="Times New Roman"/>
                      <w:sz w:val="24"/>
                      <w:szCs w:val="24"/>
                    </w:rPr>
                    <w:t xml:space="preserve"> </w:t>
                  </w:r>
                </w:p>
              </w:tc>
              <w:tc>
                <w:tcPr>
                  <w:tcW w:w="6812" w:type="dxa"/>
                  <w:tcBorders>
                    <w:top w:val="single" w:sz="8" w:space="0" w:color="000000"/>
                    <w:left w:val="single" w:sz="8" w:space="0" w:color="000000"/>
                    <w:bottom w:val="single" w:sz="8" w:space="0" w:color="000000"/>
                    <w:right w:val="single" w:sz="8" w:space="0" w:color="000000"/>
                  </w:tcBorders>
                </w:tcPr>
                <w:p w14:paraId="15B4BD76"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Program </w:t>
                  </w:r>
                  <w:proofErr w:type="spellStart"/>
                  <w:r>
                    <w:rPr>
                      <w:rFonts w:ascii="Times New Roman" w:eastAsia="Times New Roman" w:hAnsi="Times New Roman" w:cs="Times New Roman"/>
                      <w:sz w:val="24"/>
                      <w:szCs w:val="24"/>
                    </w:rPr>
                    <w:t>przyczyni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się</w:t>
                  </w:r>
                  <w:proofErr w:type="spellEnd"/>
                  <w:r>
                    <w:rPr>
                      <w:rFonts w:ascii="Times New Roman" w:eastAsia="Times New Roman" w:hAnsi="Times New Roman" w:cs="Times New Roman"/>
                      <w:sz w:val="24"/>
                      <w:szCs w:val="24"/>
                    </w:rPr>
                    <w:t xml:space="preserve"> do:</w:t>
                  </w:r>
                </w:p>
                <w:p w14:paraId="15B4BD77" w14:textId="77777777" w:rsidR="008E79D4" w:rsidRPr="00377F0C" w:rsidRDefault="00AF3D1B">
                  <w:pPr>
                    <w:numPr>
                      <w:ilvl w:val="0"/>
                      <w:numId w:val="1"/>
                    </w:numPr>
                    <w:spacing w:after="0" w:line="240" w:lineRule="auto"/>
                    <w:ind w:hanging="360"/>
                    <w:contextualSpacing/>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przezwyciężenia problemów adaptacyjnych studentów-obcokrajowców na uniwersytecie,</w:t>
                  </w:r>
                </w:p>
                <w:p w14:paraId="15B4BD78" w14:textId="77777777" w:rsidR="008E79D4" w:rsidRPr="00377F0C" w:rsidRDefault="00AF3D1B">
                  <w:pPr>
                    <w:numPr>
                      <w:ilvl w:val="0"/>
                      <w:numId w:val="1"/>
                    </w:numPr>
                    <w:spacing w:after="0" w:line="240" w:lineRule="auto"/>
                    <w:ind w:hanging="360"/>
                    <w:contextualSpacing/>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wytworzenia wspólnoty naukowej zajmującej się zagadnieniami pogranicza cywilizacyjnego,</w:t>
                  </w:r>
                </w:p>
                <w:p w14:paraId="15B4BD79" w14:textId="77777777" w:rsidR="008E79D4" w:rsidRPr="00377F0C" w:rsidRDefault="00AF3D1B">
                  <w:pPr>
                    <w:numPr>
                      <w:ilvl w:val="0"/>
                      <w:numId w:val="1"/>
                    </w:numPr>
                    <w:spacing w:after="0" w:line="240" w:lineRule="auto"/>
                    <w:ind w:hanging="360"/>
                    <w:contextualSpacing/>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wykreowania takiej przestrzeni społeczno-dydaktycznej, w której możliwy byłby dialog cywilizacji dzięki przekroczeniu granic geograficznych, instytucjonalnych i psychofizycznych,</w:t>
                  </w:r>
                </w:p>
                <w:p w14:paraId="15B4BD7A" w14:textId="77777777" w:rsidR="008E79D4" w:rsidRPr="00377F0C" w:rsidRDefault="00AF3D1B">
                  <w:pPr>
                    <w:numPr>
                      <w:ilvl w:val="0"/>
                      <w:numId w:val="1"/>
                    </w:numPr>
                    <w:spacing w:after="0" w:line="240" w:lineRule="auto"/>
                    <w:ind w:hanging="360"/>
                    <w:contextualSpacing/>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stworzenia innowacyjnych technik nauczania w oparciu o podejście komparatystyczne, wielokulturowe z wykorzystaniem narzędzi komunikacji internetowej,</w:t>
                  </w:r>
                </w:p>
                <w:p w14:paraId="15B4BD7B" w14:textId="77777777" w:rsidR="008E79D4" w:rsidRPr="00377F0C" w:rsidRDefault="00AF3D1B">
                  <w:pPr>
                    <w:numPr>
                      <w:ilvl w:val="0"/>
                      <w:numId w:val="1"/>
                    </w:numPr>
                    <w:spacing w:after="0" w:line="240" w:lineRule="auto"/>
                    <w:ind w:hanging="360"/>
                    <w:contextualSpacing/>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przygotowania innowacyjnej techniki nauczania uwzględniającej międzycywilizacyjne filtry/konteksty DCL.</w:t>
                  </w:r>
                </w:p>
                <w:p w14:paraId="15B4BD7C" w14:textId="77777777" w:rsidR="008E79D4" w:rsidRDefault="00AF3D1B">
                  <w:pPr>
                    <w:spacing w:after="0" w:line="240" w:lineRule="auto"/>
                    <w:jc w:val="both"/>
                    <w:rPr>
                      <w:rFonts w:ascii="Times New Roman" w:eastAsia="Times New Roman" w:hAnsi="Times New Roman" w:cs="Times New Roman"/>
                      <w:sz w:val="24"/>
                      <w:szCs w:val="24"/>
                    </w:rPr>
                  </w:pPr>
                  <w:r w:rsidRPr="00377F0C">
                    <w:rPr>
                      <w:rFonts w:ascii="Times New Roman" w:eastAsia="Times New Roman" w:hAnsi="Times New Roman" w:cs="Times New Roman"/>
                      <w:sz w:val="24"/>
                      <w:szCs w:val="24"/>
                      <w:lang w:val="pl-PL"/>
                    </w:rPr>
                    <w:t xml:space="preserve">Uczestnicy zyskują elementy wiedzy o różnych kręgach kulturowych, orientują się w ich podbudowie religijnej i i ideologicznej. Studenci nabywają  kompetencje poznawcze oraz funkcjonalne w zakresie dostosowania odpowiedniej metodologii porównawczej do przedmiotu badania. Studenci nabywają umiejętność rozpoznania metod badawczych stosowanych przy opisach różnorodnych kultur i form społecznych z ich instytucjami, wartościami i wzorami zachowań. </w:t>
                  </w:r>
                  <w:proofErr w:type="spellStart"/>
                  <w:r>
                    <w:rPr>
                      <w:rFonts w:ascii="Times New Roman" w:eastAsia="Times New Roman" w:hAnsi="Times New Roman" w:cs="Times New Roman"/>
                      <w:sz w:val="24"/>
                      <w:szCs w:val="24"/>
                    </w:rPr>
                    <w:t>Studenci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nabierają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aktywnej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postawy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wobec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wezwań</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rzeczywistości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międzycywilizacyjnej</w:t>
                  </w:r>
                  <w:proofErr w:type="spellEnd"/>
                  <w:r>
                    <w:rPr>
                      <w:rFonts w:ascii="Times New Roman" w:eastAsia="Times New Roman" w:hAnsi="Times New Roman" w:cs="Times New Roman"/>
                      <w:sz w:val="24"/>
                      <w:szCs w:val="24"/>
                    </w:rPr>
                    <w:t>.</w:t>
                  </w:r>
                </w:p>
              </w:tc>
            </w:tr>
            <w:tr w:rsidR="008E79D4" w:rsidRPr="00696628" w14:paraId="15B4BD81" w14:textId="77777777">
              <w:trPr>
                <w:trHeight w:val="1140"/>
              </w:trPr>
              <w:tc>
                <w:tcPr>
                  <w:tcW w:w="3657" w:type="dxa"/>
                  <w:tcBorders>
                    <w:top w:val="single" w:sz="8" w:space="0" w:color="000000"/>
                    <w:left w:val="single" w:sz="8" w:space="0" w:color="000000"/>
                    <w:bottom w:val="single" w:sz="8" w:space="0" w:color="000000"/>
                    <w:right w:val="single" w:sz="8" w:space="0" w:color="000000"/>
                  </w:tcBorders>
                </w:tcPr>
                <w:p w14:paraId="15B4BD7E"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Punkty</w:t>
                  </w:r>
                  <w:proofErr w:type="spellEnd"/>
                  <w:r>
                    <w:rPr>
                      <w:rFonts w:ascii="Times New Roman" w:eastAsia="Times New Roman" w:hAnsi="Times New Roman" w:cs="Times New Roman"/>
                      <w:sz w:val="24"/>
                      <w:szCs w:val="24"/>
                    </w:rPr>
                    <w:t xml:space="preserve"> ECTS </w:t>
                  </w:r>
                </w:p>
              </w:tc>
              <w:tc>
                <w:tcPr>
                  <w:tcW w:w="6812" w:type="dxa"/>
                  <w:tcBorders>
                    <w:top w:val="single" w:sz="8" w:space="0" w:color="000000"/>
                    <w:left w:val="single" w:sz="8" w:space="0" w:color="000000"/>
                    <w:bottom w:val="single" w:sz="8" w:space="0" w:color="000000"/>
                    <w:right w:val="single" w:sz="8" w:space="0" w:color="000000"/>
                  </w:tcBorders>
                </w:tcPr>
                <w:p w14:paraId="15B4BD7F"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 semestr zimowy ( 80 godz) - 7 punktów</w:t>
                  </w:r>
                </w:p>
                <w:p w14:paraId="15B4BD80"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 semestr letni (70 godz) - 6 punktów</w:t>
                  </w:r>
                </w:p>
              </w:tc>
            </w:tr>
            <w:tr w:rsidR="008E79D4" w:rsidRPr="00696628" w14:paraId="15B4BD8D" w14:textId="77777777">
              <w:trPr>
                <w:trHeight w:val="940"/>
              </w:trPr>
              <w:tc>
                <w:tcPr>
                  <w:tcW w:w="3657" w:type="dxa"/>
                  <w:tcBorders>
                    <w:top w:val="single" w:sz="8" w:space="0" w:color="000000"/>
                    <w:left w:val="single" w:sz="8" w:space="0" w:color="000000"/>
                    <w:bottom w:val="single" w:sz="8" w:space="0" w:color="000000"/>
                    <w:right w:val="single" w:sz="8" w:space="0" w:color="000000"/>
                  </w:tcBorders>
                </w:tcPr>
                <w:p w14:paraId="15B4BD82"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Metody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kryteria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oceniania</w:t>
                  </w:r>
                  <w:proofErr w:type="spellEnd"/>
                  <w:r>
                    <w:rPr>
                      <w:rFonts w:ascii="Times New Roman" w:eastAsia="Times New Roman" w:hAnsi="Times New Roman" w:cs="Times New Roman"/>
                      <w:sz w:val="24"/>
                      <w:szCs w:val="24"/>
                    </w:rPr>
                    <w:t xml:space="preserve"> </w:t>
                  </w:r>
                </w:p>
              </w:tc>
              <w:tc>
                <w:tcPr>
                  <w:tcW w:w="6812" w:type="dxa"/>
                  <w:tcBorders>
                    <w:top w:val="single" w:sz="8" w:space="0" w:color="000000"/>
                    <w:left w:val="single" w:sz="8" w:space="0" w:color="000000"/>
                    <w:bottom w:val="single" w:sz="8" w:space="0" w:color="000000"/>
                    <w:right w:val="single" w:sz="8" w:space="0" w:color="000000"/>
                  </w:tcBorders>
                </w:tcPr>
                <w:p w14:paraId="15B4BD83"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Metody oceny oparte na kryterium punktacji. Ocena referatów na zajęciach, ocena aktywności i obecności studentów na zajęciach, ocena udziału w dyskusjach (idee, argumentacja), system zaliczeniowy na końcu. </w:t>
                  </w:r>
                </w:p>
                <w:p w14:paraId="15B4BD84"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 Kryteria oceniania przewidują dwa aspekty:</w:t>
                  </w:r>
                </w:p>
                <w:p w14:paraId="15B4BD85" w14:textId="77777777" w:rsidR="008E79D4" w:rsidRPr="00377F0C" w:rsidRDefault="00AF3D1B">
                  <w:pPr>
                    <w:spacing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I  ASPEKT to </w:t>
                  </w:r>
                  <w:r w:rsidRPr="00377F0C">
                    <w:rPr>
                      <w:rFonts w:ascii="Times New Roman" w:eastAsia="Times New Roman" w:hAnsi="Times New Roman" w:cs="Times New Roman"/>
                      <w:color w:val="C00000"/>
                      <w:sz w:val="24"/>
                      <w:szCs w:val="24"/>
                      <w:lang w:val="pl-PL"/>
                    </w:rPr>
                    <w:t>przyswojenie wiedzy</w:t>
                  </w:r>
                  <w:r w:rsidRPr="00377F0C">
                    <w:rPr>
                      <w:rFonts w:ascii="Times New Roman" w:eastAsia="Times New Roman" w:hAnsi="Times New Roman" w:cs="Times New Roman"/>
                      <w:sz w:val="24"/>
                      <w:szCs w:val="24"/>
                      <w:lang w:val="pl-PL"/>
                    </w:rPr>
                    <w:t>, punktowane przez system ocen.</w:t>
                  </w:r>
                </w:p>
                <w:p w14:paraId="15B4BD86" w14:textId="77777777" w:rsidR="008E79D4" w:rsidRPr="00377F0C" w:rsidRDefault="00AF3D1B">
                  <w:pPr>
                    <w:spacing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II ASPEKT to </w:t>
                  </w:r>
                  <w:r w:rsidRPr="00377F0C">
                    <w:rPr>
                      <w:rFonts w:ascii="Times New Roman" w:eastAsia="Times New Roman" w:hAnsi="Times New Roman" w:cs="Times New Roman"/>
                      <w:color w:val="C00000"/>
                      <w:sz w:val="24"/>
                      <w:szCs w:val="24"/>
                      <w:lang w:val="pl-PL"/>
                    </w:rPr>
                    <w:t xml:space="preserve">praktyczne stosowanie wiedzy </w:t>
                  </w:r>
                  <w:r w:rsidRPr="00377F0C">
                    <w:rPr>
                      <w:rFonts w:ascii="Times New Roman" w:eastAsia="Times New Roman" w:hAnsi="Times New Roman" w:cs="Times New Roman"/>
                      <w:sz w:val="24"/>
                      <w:szCs w:val="24"/>
                      <w:lang w:val="pl-PL"/>
                    </w:rPr>
                    <w:t xml:space="preserve">przez wchodzenie w relacje wielokulturowe i tworzenie więzi z innymi uczestnikami programu. </w:t>
                  </w:r>
                </w:p>
                <w:p w14:paraId="15B4BD87" w14:textId="77777777" w:rsidR="008E79D4" w:rsidRPr="00377F0C" w:rsidRDefault="00AF3D1B">
                  <w:pPr>
                    <w:spacing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 Punktowane będą </w:t>
                  </w:r>
                  <w:r w:rsidRPr="00377F0C">
                    <w:rPr>
                      <w:rFonts w:ascii="Times New Roman" w:eastAsia="Times New Roman" w:hAnsi="Times New Roman" w:cs="Times New Roman"/>
                      <w:color w:val="C00000"/>
                      <w:sz w:val="24"/>
                      <w:szCs w:val="24"/>
                      <w:lang w:val="pl-PL"/>
                    </w:rPr>
                    <w:t xml:space="preserve">umiejętności </w:t>
                  </w:r>
                  <w:r w:rsidRPr="00377F0C">
                    <w:rPr>
                      <w:rFonts w:ascii="Times New Roman" w:eastAsia="Times New Roman" w:hAnsi="Times New Roman" w:cs="Times New Roman"/>
                      <w:sz w:val="24"/>
                      <w:szCs w:val="24"/>
                      <w:lang w:val="pl-PL"/>
                    </w:rPr>
                    <w:t>wyróżniane na czterech płaszczyznach: </w:t>
                  </w:r>
                </w:p>
                <w:p w14:paraId="15B4BD88" w14:textId="77777777" w:rsidR="008E79D4" w:rsidRPr="00377F0C" w:rsidRDefault="00AF3D1B">
                  <w:pPr>
                    <w:spacing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zarządzanie wiedzą przyswojoną w procesie dydaktycznym; twórcze podejście do problemu</w:t>
                  </w:r>
                </w:p>
                <w:p w14:paraId="15B4BD89" w14:textId="77777777" w:rsidR="008E79D4" w:rsidRPr="00377F0C" w:rsidRDefault="00AF3D1B">
                  <w:pPr>
                    <w:spacing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komunikacja międzycywilizacyjna</w:t>
                  </w:r>
                </w:p>
                <w:p w14:paraId="15B4BD8A" w14:textId="77777777" w:rsidR="008E79D4" w:rsidRPr="00377F0C" w:rsidRDefault="00AF3D1B">
                  <w:pPr>
                    <w:spacing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lastRenderedPageBreak/>
                    <w:t>• organizacja wiedzy i grupy</w:t>
                  </w:r>
                </w:p>
                <w:p w14:paraId="15B4BD8B" w14:textId="77777777" w:rsidR="008E79D4" w:rsidRPr="00377F0C" w:rsidRDefault="00AF3D1B">
                  <w:pPr>
                    <w:spacing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umiejętności związane z koordynacją psychofizycznych funkcji organizmu człowieka.</w:t>
                  </w:r>
                </w:p>
                <w:p w14:paraId="15B4BD8C"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tc>
            </w:tr>
            <w:tr w:rsidR="008E79D4" w14:paraId="15B4BD90" w14:textId="77777777">
              <w:trPr>
                <w:trHeight w:val="120"/>
              </w:trPr>
              <w:tc>
                <w:tcPr>
                  <w:tcW w:w="3657" w:type="dxa"/>
                  <w:tcBorders>
                    <w:top w:val="single" w:sz="8" w:space="0" w:color="000000"/>
                    <w:left w:val="single" w:sz="8" w:space="0" w:color="000000"/>
                    <w:bottom w:val="single" w:sz="8" w:space="0" w:color="000000"/>
                    <w:right w:val="single" w:sz="8" w:space="0" w:color="000000"/>
                  </w:tcBorders>
                </w:tcPr>
                <w:p w14:paraId="15B4BD8E"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Sposób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zaliczenia</w:t>
                  </w:r>
                  <w:proofErr w:type="spellEnd"/>
                  <w:r>
                    <w:rPr>
                      <w:rFonts w:ascii="Times New Roman" w:eastAsia="Times New Roman" w:hAnsi="Times New Roman" w:cs="Times New Roman"/>
                      <w:sz w:val="24"/>
                      <w:szCs w:val="24"/>
                    </w:rPr>
                    <w:t xml:space="preserve"> </w:t>
                  </w:r>
                </w:p>
              </w:tc>
              <w:tc>
                <w:tcPr>
                  <w:tcW w:w="6812" w:type="dxa"/>
                  <w:tcBorders>
                    <w:top w:val="single" w:sz="8" w:space="0" w:color="000000"/>
                    <w:left w:val="single" w:sz="8" w:space="0" w:color="000000"/>
                    <w:bottom w:val="single" w:sz="8" w:space="0" w:color="000000"/>
                    <w:right w:val="single" w:sz="8" w:space="0" w:color="000000"/>
                  </w:tcBorders>
                </w:tcPr>
                <w:p w14:paraId="15B4BD8F" w14:textId="77777777" w:rsidR="008E79D4" w:rsidRDefault="00AF3D1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Zaliczenie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ocenę</w:t>
                  </w:r>
                  <w:proofErr w:type="spellEnd"/>
                </w:p>
              </w:tc>
            </w:tr>
            <w:tr w:rsidR="008E79D4" w14:paraId="15B4BD93" w14:textId="77777777">
              <w:trPr>
                <w:trHeight w:val="940"/>
              </w:trPr>
              <w:tc>
                <w:tcPr>
                  <w:tcW w:w="3657" w:type="dxa"/>
                  <w:tcBorders>
                    <w:top w:val="single" w:sz="8" w:space="0" w:color="000000"/>
                    <w:left w:val="single" w:sz="8" w:space="0" w:color="000000"/>
                    <w:bottom w:val="single" w:sz="8" w:space="0" w:color="000000"/>
                    <w:right w:val="single" w:sz="8" w:space="0" w:color="000000"/>
                  </w:tcBorders>
                </w:tcPr>
                <w:p w14:paraId="15B4BD91"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Rodzaj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przedmiotu</w:t>
                  </w:r>
                  <w:proofErr w:type="spellEnd"/>
                  <w:r>
                    <w:rPr>
                      <w:rFonts w:ascii="Times New Roman" w:eastAsia="Times New Roman" w:hAnsi="Times New Roman" w:cs="Times New Roman"/>
                      <w:sz w:val="24"/>
                      <w:szCs w:val="24"/>
                    </w:rPr>
                    <w:t xml:space="preserve"> </w:t>
                  </w:r>
                </w:p>
              </w:tc>
              <w:tc>
                <w:tcPr>
                  <w:tcW w:w="6812" w:type="dxa"/>
                  <w:tcBorders>
                    <w:top w:val="single" w:sz="8" w:space="0" w:color="000000"/>
                    <w:left w:val="single" w:sz="8" w:space="0" w:color="000000"/>
                    <w:bottom w:val="single" w:sz="8" w:space="0" w:color="000000"/>
                    <w:right w:val="single" w:sz="8" w:space="0" w:color="000000"/>
                  </w:tcBorders>
                </w:tcPr>
                <w:p w14:paraId="15B4BD92"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Fakultatywny</w:t>
                  </w:r>
                  <w:proofErr w:type="spellEnd"/>
                </w:p>
              </w:tc>
            </w:tr>
            <w:tr w:rsidR="008E79D4" w14:paraId="15B4BD96" w14:textId="77777777">
              <w:trPr>
                <w:trHeight w:val="320"/>
              </w:trPr>
              <w:tc>
                <w:tcPr>
                  <w:tcW w:w="3657" w:type="dxa"/>
                  <w:tcBorders>
                    <w:top w:val="single" w:sz="8" w:space="0" w:color="000000"/>
                    <w:left w:val="single" w:sz="8" w:space="0" w:color="000000"/>
                    <w:bottom w:val="single" w:sz="8" w:space="0" w:color="000000"/>
                    <w:right w:val="single" w:sz="8" w:space="0" w:color="000000"/>
                  </w:tcBorders>
                </w:tcPr>
                <w:p w14:paraId="15B4BD94"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Sposób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realizacji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przedmiotu</w:t>
                  </w:r>
                  <w:proofErr w:type="spellEnd"/>
                  <w:r>
                    <w:rPr>
                      <w:rFonts w:ascii="Times New Roman" w:eastAsia="Times New Roman" w:hAnsi="Times New Roman" w:cs="Times New Roman"/>
                      <w:sz w:val="24"/>
                      <w:szCs w:val="24"/>
                    </w:rPr>
                    <w:t xml:space="preserve"> </w:t>
                  </w:r>
                </w:p>
              </w:tc>
              <w:tc>
                <w:tcPr>
                  <w:tcW w:w="6812" w:type="dxa"/>
                  <w:tcBorders>
                    <w:top w:val="single" w:sz="8" w:space="0" w:color="000000"/>
                    <w:left w:val="single" w:sz="8" w:space="0" w:color="000000"/>
                    <w:bottom w:val="single" w:sz="8" w:space="0" w:color="000000"/>
                    <w:right w:val="single" w:sz="8" w:space="0" w:color="000000"/>
                  </w:tcBorders>
                </w:tcPr>
                <w:p w14:paraId="15B4BD95"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Stacjonarne</w:t>
                  </w:r>
                  <w:proofErr w:type="spellEnd"/>
                </w:p>
              </w:tc>
            </w:tr>
            <w:tr w:rsidR="008E79D4" w14:paraId="15B4BD99" w14:textId="77777777">
              <w:trPr>
                <w:trHeight w:val="120"/>
              </w:trPr>
              <w:tc>
                <w:tcPr>
                  <w:tcW w:w="3657" w:type="dxa"/>
                  <w:tcBorders>
                    <w:top w:val="single" w:sz="8" w:space="0" w:color="000000"/>
                    <w:left w:val="single" w:sz="8" w:space="0" w:color="000000"/>
                    <w:bottom w:val="single" w:sz="8" w:space="0" w:color="000000"/>
                    <w:right w:val="single" w:sz="8" w:space="0" w:color="000000"/>
                  </w:tcBorders>
                </w:tcPr>
                <w:p w14:paraId="15B4BD97"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Język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wykładowy</w:t>
                  </w:r>
                  <w:proofErr w:type="spellEnd"/>
                  <w:r>
                    <w:rPr>
                      <w:rFonts w:ascii="Times New Roman" w:eastAsia="Times New Roman" w:hAnsi="Times New Roman" w:cs="Times New Roman"/>
                      <w:sz w:val="24"/>
                      <w:szCs w:val="24"/>
                    </w:rPr>
                    <w:t xml:space="preserve"> </w:t>
                  </w:r>
                </w:p>
              </w:tc>
              <w:tc>
                <w:tcPr>
                  <w:tcW w:w="6812" w:type="dxa"/>
                  <w:tcBorders>
                    <w:top w:val="single" w:sz="8" w:space="0" w:color="000000"/>
                    <w:left w:val="single" w:sz="8" w:space="0" w:color="000000"/>
                    <w:bottom w:val="single" w:sz="8" w:space="0" w:color="000000"/>
                    <w:right w:val="single" w:sz="8" w:space="0" w:color="000000"/>
                  </w:tcBorders>
                </w:tcPr>
                <w:p w14:paraId="15B4BD98" w14:textId="77777777" w:rsidR="008E79D4" w:rsidRDefault="00AF3D1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Polski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Angielski</w:t>
                  </w:r>
                  <w:proofErr w:type="spellEnd"/>
                </w:p>
              </w:tc>
            </w:tr>
            <w:tr w:rsidR="008E79D4" w14:paraId="15B4BD9C" w14:textId="77777777">
              <w:trPr>
                <w:trHeight w:val="320"/>
              </w:trPr>
              <w:tc>
                <w:tcPr>
                  <w:tcW w:w="3657" w:type="dxa"/>
                  <w:tcBorders>
                    <w:top w:val="single" w:sz="8" w:space="0" w:color="000000"/>
                    <w:left w:val="single" w:sz="8" w:space="0" w:color="000000"/>
                    <w:bottom w:val="single" w:sz="8" w:space="0" w:color="000000"/>
                    <w:right w:val="single" w:sz="8" w:space="0" w:color="000000"/>
                  </w:tcBorders>
                </w:tcPr>
                <w:p w14:paraId="15B4BD9A"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Literatura</w:t>
                  </w:r>
                  <w:proofErr w:type="spellEnd"/>
                  <w:r>
                    <w:rPr>
                      <w:rFonts w:ascii="Times New Roman" w:eastAsia="Times New Roman" w:hAnsi="Times New Roman" w:cs="Times New Roman"/>
                      <w:sz w:val="24"/>
                      <w:szCs w:val="24"/>
                    </w:rPr>
                    <w:t xml:space="preserve"> </w:t>
                  </w:r>
                </w:p>
              </w:tc>
              <w:tc>
                <w:tcPr>
                  <w:tcW w:w="6812" w:type="dxa"/>
                  <w:tcBorders>
                    <w:top w:val="single" w:sz="8" w:space="0" w:color="000000"/>
                    <w:left w:val="single" w:sz="8" w:space="0" w:color="000000"/>
                    <w:bottom w:val="single" w:sz="8" w:space="0" w:color="000000"/>
                    <w:right w:val="single" w:sz="8" w:space="0" w:color="000000"/>
                  </w:tcBorders>
                </w:tcPr>
                <w:p w14:paraId="15B4BD9B"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E79D4" w14:paraId="15B4BD9F" w14:textId="77777777">
              <w:trPr>
                <w:trHeight w:val="420"/>
              </w:trPr>
              <w:tc>
                <w:tcPr>
                  <w:tcW w:w="3657" w:type="dxa"/>
                  <w:tcBorders>
                    <w:top w:val="single" w:sz="8" w:space="0" w:color="000000"/>
                    <w:left w:val="single" w:sz="8" w:space="0" w:color="000000"/>
                    <w:bottom w:val="single" w:sz="8" w:space="0" w:color="000000"/>
                    <w:right w:val="single" w:sz="8" w:space="0" w:color="000000"/>
                  </w:tcBorders>
                </w:tcPr>
                <w:p w14:paraId="15B4BD9D"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Praktyki zawodowe w ramach przedmiotu </w:t>
                  </w:r>
                </w:p>
              </w:tc>
              <w:tc>
                <w:tcPr>
                  <w:tcW w:w="6812" w:type="dxa"/>
                  <w:tcBorders>
                    <w:top w:val="single" w:sz="8" w:space="0" w:color="000000"/>
                    <w:left w:val="single" w:sz="8" w:space="0" w:color="000000"/>
                    <w:bottom w:val="single" w:sz="8" w:space="0" w:color="000000"/>
                    <w:right w:val="single" w:sz="8" w:space="0" w:color="000000"/>
                  </w:tcBorders>
                </w:tcPr>
                <w:p w14:paraId="15B4BD9E" w14:textId="77777777" w:rsidR="008E79D4" w:rsidRDefault="00AF3D1B">
                  <w:pPr>
                    <w:spacing w:after="0" w:line="240" w:lineRule="auto"/>
                    <w:jc w:val="both"/>
                    <w:rPr>
                      <w:rFonts w:ascii="Times New Roman" w:eastAsia="Times New Roman" w:hAnsi="Times New Roman" w:cs="Times New Roman"/>
                      <w:sz w:val="24"/>
                      <w:szCs w:val="24"/>
                    </w:rPr>
                  </w:pPr>
                  <w:r w:rsidRPr="00377F0C">
                    <w:rPr>
                      <w:rFonts w:ascii="Times New Roman" w:eastAsia="Times New Roman" w:hAnsi="Times New Roman" w:cs="Times New Roman"/>
                      <w:sz w:val="24"/>
                      <w:szCs w:val="24"/>
                      <w:lang w:val="pl-PL"/>
                    </w:rPr>
                    <w:t xml:space="preserve"> </w:t>
                  </w:r>
                  <w:r>
                    <w:rPr>
                      <w:rFonts w:ascii="Times New Roman" w:eastAsia="Times New Roman" w:hAnsi="Times New Roman" w:cs="Times New Roman"/>
                      <w:sz w:val="24"/>
                      <w:szCs w:val="24"/>
                    </w:rPr>
                    <w:t>-</w:t>
                  </w:r>
                </w:p>
              </w:tc>
            </w:tr>
            <w:tr w:rsidR="008E79D4" w14:paraId="15B4BDA1" w14:textId="77777777">
              <w:trPr>
                <w:trHeight w:val="240"/>
              </w:trPr>
              <w:tc>
                <w:tcPr>
                  <w:tcW w:w="10469" w:type="dxa"/>
                  <w:gridSpan w:val="2"/>
                  <w:tcBorders>
                    <w:top w:val="single" w:sz="8" w:space="0" w:color="000000"/>
                    <w:left w:val="single" w:sz="8" w:space="0" w:color="000000"/>
                    <w:bottom w:val="single" w:sz="8" w:space="0" w:color="000000"/>
                    <w:right w:val="single" w:sz="8" w:space="0" w:color="000000"/>
                  </w:tcBorders>
                </w:tcPr>
                <w:p w14:paraId="15B4BDA0" w14:textId="77777777" w:rsidR="008E79D4" w:rsidRDefault="00AF3D1B">
                  <w:pPr>
                    <w:spacing w:after="0" w:line="240" w:lineRule="auto"/>
                    <w:rPr>
                      <w:rFonts w:ascii="Times New Roman" w:eastAsia="Times New Roman" w:hAnsi="Times New Roman" w:cs="Times New Roman"/>
                      <w:sz w:val="24"/>
                      <w:szCs w:val="24"/>
                    </w:rPr>
                  </w:pPr>
                  <w:r w:rsidRPr="00377F0C">
                    <w:rPr>
                      <w:rFonts w:ascii="Times New Roman" w:eastAsia="Times New Roman" w:hAnsi="Times New Roman" w:cs="Times New Roman"/>
                      <w:sz w:val="24"/>
                      <w:szCs w:val="24"/>
                      <w:lang w:val="pl-PL"/>
                    </w:rPr>
                    <w:t xml:space="preserve">Imię i nazwisko koordynatora przedmiotu dr hab. </w:t>
                  </w:r>
                  <w:r>
                    <w:rPr>
                      <w:rFonts w:ascii="Times New Roman" w:eastAsia="Times New Roman" w:hAnsi="Times New Roman" w:cs="Times New Roman"/>
                      <w:sz w:val="24"/>
                      <w:szCs w:val="24"/>
                    </w:rPr>
                    <w:t>Zoja Morochojewa</w:t>
                  </w:r>
                </w:p>
              </w:tc>
            </w:tr>
            <w:tr w:rsidR="008E79D4" w:rsidRPr="00696628" w14:paraId="15B4BDA4" w14:textId="77777777">
              <w:trPr>
                <w:trHeight w:val="220"/>
              </w:trPr>
              <w:tc>
                <w:tcPr>
                  <w:tcW w:w="3657" w:type="dxa"/>
                  <w:tcBorders>
                    <w:top w:val="single" w:sz="8" w:space="0" w:color="000000"/>
                    <w:left w:val="single" w:sz="8" w:space="0" w:color="000000"/>
                    <w:bottom w:val="single" w:sz="8" w:space="0" w:color="000000"/>
                    <w:right w:val="single" w:sz="8" w:space="0" w:color="000000"/>
                  </w:tcBorders>
                </w:tcPr>
                <w:p w14:paraId="15B4BDA2"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Prowadzący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zajęcia</w:t>
                  </w:r>
                  <w:proofErr w:type="spellEnd"/>
                  <w:r>
                    <w:rPr>
                      <w:rFonts w:ascii="Times New Roman" w:eastAsia="Times New Roman" w:hAnsi="Times New Roman" w:cs="Times New Roman"/>
                      <w:sz w:val="24"/>
                      <w:szCs w:val="24"/>
                    </w:rPr>
                    <w:t xml:space="preserve"> </w:t>
                  </w:r>
                </w:p>
              </w:tc>
              <w:tc>
                <w:tcPr>
                  <w:tcW w:w="6812" w:type="dxa"/>
                  <w:tcBorders>
                    <w:top w:val="single" w:sz="8" w:space="0" w:color="000000"/>
                    <w:left w:val="single" w:sz="8" w:space="0" w:color="000000"/>
                    <w:bottom w:val="single" w:sz="8" w:space="0" w:color="000000"/>
                    <w:right w:val="single" w:sz="8" w:space="0" w:color="000000"/>
                  </w:tcBorders>
                </w:tcPr>
                <w:p w14:paraId="15B4BDA3"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dr Konrad Kuczara, dr Ewa Majewska, dr hab. Zoja Morochojewa,  dr Matylda Urjasz-Raczko, dr </w:t>
                  </w:r>
                  <w:r w:rsidRPr="00377F0C">
                    <w:rPr>
                      <w:rFonts w:ascii="Times New Roman" w:eastAsia="Times New Roman" w:hAnsi="Times New Roman" w:cs="Times New Roman"/>
                      <w:sz w:val="24"/>
                      <w:szCs w:val="24"/>
                      <w:highlight w:val="white"/>
                      <w:lang w:val="pl-PL"/>
                    </w:rPr>
                    <w:t>Krzysztof Skonieczny</w:t>
                  </w:r>
                  <w:r w:rsidRPr="00377F0C">
                    <w:rPr>
                      <w:rFonts w:ascii="Times New Roman" w:eastAsia="Times New Roman" w:hAnsi="Times New Roman" w:cs="Times New Roman"/>
                      <w:sz w:val="24"/>
                      <w:szCs w:val="24"/>
                      <w:lang w:val="pl-PL"/>
                    </w:rPr>
                    <w:t>, prof. dr hab Szymon Wróbel, Anna Wróbel</w:t>
                  </w:r>
                </w:p>
              </w:tc>
            </w:tr>
            <w:tr w:rsidR="008E79D4" w14:paraId="15B4BDA6" w14:textId="77777777">
              <w:trPr>
                <w:trHeight w:val="120"/>
              </w:trPr>
              <w:tc>
                <w:tcPr>
                  <w:tcW w:w="10469" w:type="dxa"/>
                  <w:gridSpan w:val="2"/>
                  <w:tcBorders>
                    <w:top w:val="single" w:sz="8" w:space="0" w:color="000000"/>
                    <w:left w:val="single" w:sz="8" w:space="0" w:color="000000"/>
                    <w:bottom w:val="single" w:sz="8" w:space="0" w:color="000000"/>
                    <w:right w:val="single" w:sz="8" w:space="0" w:color="000000"/>
                  </w:tcBorders>
                </w:tcPr>
                <w:p w14:paraId="15B4BDA5"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Uwagi</w:t>
                  </w:r>
                  <w:proofErr w:type="spellEnd"/>
                  <w:r>
                    <w:rPr>
                      <w:rFonts w:ascii="Times New Roman" w:eastAsia="Times New Roman" w:hAnsi="Times New Roman" w:cs="Times New Roman"/>
                      <w:sz w:val="24"/>
                      <w:szCs w:val="24"/>
                    </w:rPr>
                    <w:t xml:space="preserve"> </w:t>
                  </w:r>
                </w:p>
              </w:tc>
            </w:tr>
          </w:tbl>
          <w:p w14:paraId="15B4BDA7" w14:textId="77777777" w:rsidR="008E79D4" w:rsidRDefault="008E79D4">
            <w:pPr>
              <w:spacing w:after="0" w:line="240" w:lineRule="auto"/>
              <w:rPr>
                <w:rFonts w:ascii="Times New Roman" w:eastAsia="Times New Roman" w:hAnsi="Times New Roman" w:cs="Times New Roman"/>
                <w:sz w:val="24"/>
                <w:szCs w:val="24"/>
              </w:rPr>
            </w:pPr>
          </w:p>
          <w:p w14:paraId="15B4BDA8" w14:textId="77777777" w:rsidR="008E79D4" w:rsidRDefault="008E79D4">
            <w:pPr>
              <w:spacing w:after="0" w:line="240" w:lineRule="auto"/>
              <w:jc w:val="both"/>
              <w:rPr>
                <w:rFonts w:ascii="Times New Roman" w:eastAsia="Times New Roman" w:hAnsi="Times New Roman" w:cs="Times New Roman"/>
                <w:sz w:val="24"/>
                <w:szCs w:val="24"/>
              </w:rPr>
            </w:pPr>
            <w:bookmarkStart w:id="1" w:name="_gjdgxs" w:colFirst="0" w:colLast="0"/>
            <w:bookmarkEnd w:id="1"/>
          </w:p>
        </w:tc>
      </w:tr>
      <w:tr w:rsidR="008E79D4" w14:paraId="15B4BDAE" w14:textId="77777777">
        <w:trPr>
          <w:trHeight w:val="120"/>
        </w:trPr>
        <w:tc>
          <w:tcPr>
            <w:tcW w:w="9" w:type="dxa"/>
          </w:tcPr>
          <w:p w14:paraId="15B4BDAA" w14:textId="77777777" w:rsidR="008E79D4" w:rsidRDefault="008E79D4">
            <w:pPr>
              <w:spacing w:after="0"/>
              <w:rPr>
                <w:rFonts w:ascii="Times New Roman" w:eastAsia="Times New Roman" w:hAnsi="Times New Roman" w:cs="Times New Roman"/>
                <w:sz w:val="24"/>
                <w:szCs w:val="24"/>
              </w:rPr>
            </w:pPr>
          </w:p>
        </w:tc>
        <w:tc>
          <w:tcPr>
            <w:tcW w:w="10490" w:type="dxa"/>
            <w:gridSpan w:val="3"/>
            <w:tcBorders>
              <w:top w:val="single" w:sz="8" w:space="0" w:color="000000"/>
              <w:left w:val="single" w:sz="8" w:space="0" w:color="000000"/>
              <w:bottom w:val="single" w:sz="8" w:space="0" w:color="000000"/>
              <w:right w:val="single" w:sz="8" w:space="0" w:color="000000"/>
            </w:tcBorders>
          </w:tcPr>
          <w:p w14:paraId="15B4BDAB" w14:textId="77777777" w:rsidR="008E79D4" w:rsidRDefault="008E79D4">
            <w:pPr>
              <w:spacing w:after="0" w:line="240" w:lineRule="auto"/>
              <w:jc w:val="center"/>
              <w:rPr>
                <w:rFonts w:ascii="Times New Roman" w:eastAsia="Times New Roman" w:hAnsi="Times New Roman" w:cs="Times New Roman"/>
                <w:b/>
                <w:sz w:val="24"/>
                <w:szCs w:val="24"/>
              </w:rPr>
            </w:pPr>
          </w:p>
          <w:p w14:paraId="15B4BDAC" w14:textId="77777777" w:rsidR="008E79D4" w:rsidRDefault="008E79D4">
            <w:pPr>
              <w:spacing w:after="0" w:line="240" w:lineRule="auto"/>
              <w:jc w:val="center"/>
              <w:rPr>
                <w:rFonts w:ascii="Times New Roman" w:eastAsia="Times New Roman" w:hAnsi="Times New Roman" w:cs="Times New Roman"/>
                <w:b/>
                <w:sz w:val="24"/>
                <w:szCs w:val="24"/>
              </w:rPr>
            </w:pPr>
          </w:p>
          <w:p w14:paraId="15B4BDAD" w14:textId="77777777" w:rsidR="008E79D4" w:rsidRDefault="00AF3D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CZĘŚĆ B</w:t>
            </w:r>
          </w:p>
        </w:tc>
      </w:tr>
      <w:tr w:rsidR="008E79D4" w:rsidRPr="00696628" w14:paraId="15B4BDB1" w14:textId="77777777">
        <w:trPr>
          <w:trHeight w:val="320"/>
        </w:trPr>
        <w:tc>
          <w:tcPr>
            <w:tcW w:w="9" w:type="dxa"/>
          </w:tcPr>
          <w:p w14:paraId="15B4BDAF" w14:textId="77777777" w:rsidR="008E79D4" w:rsidRDefault="008E79D4">
            <w:pPr>
              <w:spacing w:after="0"/>
              <w:rPr>
                <w:rFonts w:ascii="Times New Roman" w:eastAsia="Times New Roman" w:hAnsi="Times New Roman" w:cs="Times New Roman"/>
                <w:sz w:val="24"/>
                <w:szCs w:val="24"/>
              </w:rPr>
            </w:pPr>
          </w:p>
        </w:tc>
        <w:tc>
          <w:tcPr>
            <w:tcW w:w="10490" w:type="dxa"/>
            <w:gridSpan w:val="3"/>
            <w:tcBorders>
              <w:top w:val="single" w:sz="8" w:space="0" w:color="000000"/>
              <w:left w:val="single" w:sz="8" w:space="0" w:color="000000"/>
              <w:bottom w:val="single" w:sz="8" w:space="0" w:color="000000"/>
              <w:right w:val="single" w:sz="8" w:space="0" w:color="000000"/>
            </w:tcBorders>
          </w:tcPr>
          <w:p w14:paraId="15B4BDB0"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Imię i nazwisko wykładowcy (prowadzącego zajęcia/grupę zajęciową) dr Konrad Kuczara, dr Ewa Majewska,  dr hab. Zoja Morochojewa,  dr Matylda Urjasz-Raczko, dr </w:t>
            </w:r>
            <w:r w:rsidRPr="00377F0C">
              <w:rPr>
                <w:rFonts w:ascii="Times New Roman" w:eastAsia="Times New Roman" w:hAnsi="Times New Roman" w:cs="Times New Roman"/>
                <w:sz w:val="24"/>
                <w:szCs w:val="24"/>
                <w:highlight w:val="white"/>
                <w:lang w:val="pl-PL"/>
              </w:rPr>
              <w:t>Krzysztof Skonieczny</w:t>
            </w:r>
            <w:r w:rsidRPr="00377F0C">
              <w:rPr>
                <w:rFonts w:ascii="Times New Roman" w:eastAsia="Times New Roman" w:hAnsi="Times New Roman" w:cs="Times New Roman"/>
                <w:sz w:val="24"/>
                <w:szCs w:val="24"/>
                <w:lang w:val="pl-PL"/>
              </w:rPr>
              <w:t>, prof.Szymon Wróbel, Anna Wróbel.</w:t>
            </w:r>
          </w:p>
        </w:tc>
      </w:tr>
      <w:tr w:rsidR="008E79D4" w:rsidRPr="00696628" w14:paraId="15B4BDB4" w14:textId="77777777">
        <w:trPr>
          <w:trHeight w:val="100"/>
        </w:trPr>
        <w:tc>
          <w:tcPr>
            <w:tcW w:w="9" w:type="dxa"/>
          </w:tcPr>
          <w:p w14:paraId="15B4BDB2" w14:textId="77777777" w:rsidR="008E79D4" w:rsidRPr="00377F0C" w:rsidRDefault="008E79D4">
            <w:pPr>
              <w:spacing w:after="0"/>
              <w:rPr>
                <w:rFonts w:ascii="Times New Roman" w:eastAsia="Times New Roman" w:hAnsi="Times New Roman" w:cs="Times New Roman"/>
                <w:sz w:val="24"/>
                <w:szCs w:val="24"/>
                <w:lang w:val="pl-PL"/>
              </w:rPr>
            </w:pPr>
          </w:p>
        </w:tc>
        <w:tc>
          <w:tcPr>
            <w:tcW w:w="10490" w:type="dxa"/>
            <w:gridSpan w:val="3"/>
            <w:tcBorders>
              <w:top w:val="single" w:sz="8" w:space="0" w:color="000000"/>
              <w:left w:val="single" w:sz="8" w:space="0" w:color="000000"/>
              <w:bottom w:val="single" w:sz="8" w:space="0" w:color="000000"/>
              <w:right w:val="single" w:sz="8" w:space="0" w:color="000000"/>
            </w:tcBorders>
          </w:tcPr>
          <w:p w14:paraId="15B4BDB3"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Stopień/tytuł naukowy   prof., dr hab., dr</w:t>
            </w:r>
          </w:p>
        </w:tc>
      </w:tr>
      <w:tr w:rsidR="008E79D4" w14:paraId="15B4BDB9" w14:textId="77777777">
        <w:trPr>
          <w:trHeight w:val="840"/>
        </w:trPr>
        <w:tc>
          <w:tcPr>
            <w:tcW w:w="9" w:type="dxa"/>
          </w:tcPr>
          <w:p w14:paraId="15B4BDB5" w14:textId="77777777" w:rsidR="008E79D4" w:rsidRPr="00377F0C" w:rsidRDefault="008E79D4">
            <w:pPr>
              <w:spacing w:after="0"/>
              <w:rPr>
                <w:rFonts w:ascii="Times New Roman" w:eastAsia="Times New Roman" w:hAnsi="Times New Roman" w:cs="Times New Roman"/>
                <w:sz w:val="24"/>
                <w:szCs w:val="24"/>
                <w:lang w:val="pl-PL"/>
              </w:rPr>
            </w:pPr>
          </w:p>
        </w:tc>
        <w:tc>
          <w:tcPr>
            <w:tcW w:w="3828" w:type="dxa"/>
            <w:tcBorders>
              <w:top w:val="single" w:sz="8" w:space="0" w:color="000000"/>
              <w:left w:val="single" w:sz="8" w:space="0" w:color="000000"/>
              <w:bottom w:val="single" w:sz="8" w:space="0" w:color="000000"/>
              <w:right w:val="single" w:sz="8" w:space="0" w:color="000000"/>
            </w:tcBorders>
          </w:tcPr>
          <w:p w14:paraId="15B4BDB6" w14:textId="77777777" w:rsidR="008E79D4" w:rsidRDefault="00AF3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 </w:t>
            </w:r>
            <w:proofErr w:type="spellStart"/>
            <w:r>
              <w:rPr>
                <w:rFonts w:ascii="Times New Roman" w:eastAsia="Times New Roman" w:hAnsi="Times New Roman" w:cs="Times New Roman"/>
                <w:sz w:val="24"/>
                <w:szCs w:val="24"/>
              </w:rPr>
              <w:t>dydaktyczna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zajęć</w:t>
            </w:r>
            <w:proofErr w:type="spellEnd"/>
            <w:r>
              <w:rPr>
                <w:rFonts w:ascii="Times New Roman" w:eastAsia="Times New Roman" w:hAnsi="Times New Roman" w:cs="Times New Roman"/>
                <w:sz w:val="24"/>
                <w:szCs w:val="24"/>
              </w:rPr>
              <w:t xml:space="preserve"> </w:t>
            </w:r>
          </w:p>
        </w:tc>
        <w:tc>
          <w:tcPr>
            <w:tcW w:w="6662" w:type="dxa"/>
            <w:gridSpan w:val="2"/>
            <w:tcBorders>
              <w:top w:val="single" w:sz="8" w:space="0" w:color="000000"/>
              <w:left w:val="single" w:sz="8" w:space="0" w:color="000000"/>
              <w:bottom w:val="single" w:sz="8" w:space="0" w:color="000000"/>
              <w:right w:val="single" w:sz="8" w:space="0" w:color="000000"/>
            </w:tcBorders>
          </w:tcPr>
          <w:p w14:paraId="15B4BDB7" w14:textId="77777777" w:rsidR="008E79D4" w:rsidRDefault="00AF3D1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Seminarium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warsztaty</w:t>
            </w:r>
            <w:proofErr w:type="spellEnd"/>
          </w:p>
          <w:p w14:paraId="15B4BDB8" w14:textId="77777777" w:rsidR="008E79D4" w:rsidRDefault="008E79D4">
            <w:pPr>
              <w:spacing w:after="0" w:line="240" w:lineRule="auto"/>
              <w:jc w:val="both"/>
              <w:rPr>
                <w:rFonts w:ascii="Times New Roman" w:eastAsia="Times New Roman" w:hAnsi="Times New Roman" w:cs="Times New Roman"/>
                <w:sz w:val="24"/>
                <w:szCs w:val="24"/>
              </w:rPr>
            </w:pPr>
          </w:p>
        </w:tc>
      </w:tr>
      <w:tr w:rsidR="008E79D4" w:rsidRPr="00696628" w14:paraId="15B4BDBD" w14:textId="77777777">
        <w:trPr>
          <w:trHeight w:val="840"/>
        </w:trPr>
        <w:tc>
          <w:tcPr>
            <w:tcW w:w="9" w:type="dxa"/>
          </w:tcPr>
          <w:p w14:paraId="15B4BDBA" w14:textId="77777777" w:rsidR="008E79D4" w:rsidRDefault="008E79D4">
            <w:pPr>
              <w:spacing w:after="0"/>
              <w:rPr>
                <w:rFonts w:ascii="Times New Roman" w:eastAsia="Times New Roman" w:hAnsi="Times New Roman" w:cs="Times New Roman"/>
                <w:sz w:val="24"/>
                <w:szCs w:val="24"/>
              </w:rPr>
            </w:pPr>
          </w:p>
        </w:tc>
        <w:tc>
          <w:tcPr>
            <w:tcW w:w="3828" w:type="dxa"/>
            <w:tcBorders>
              <w:top w:val="single" w:sz="8" w:space="0" w:color="000000"/>
              <w:left w:val="single" w:sz="8" w:space="0" w:color="000000"/>
              <w:bottom w:val="single" w:sz="8" w:space="0" w:color="000000"/>
              <w:right w:val="single" w:sz="8" w:space="0" w:color="000000"/>
            </w:tcBorders>
          </w:tcPr>
          <w:p w14:paraId="15B4BDBB"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Efekty uczenia się zdefiniowane dla danej formy dydaktycznej zajęć w ramach przedmiotu </w:t>
            </w:r>
          </w:p>
        </w:tc>
        <w:tc>
          <w:tcPr>
            <w:tcW w:w="6662" w:type="dxa"/>
            <w:gridSpan w:val="2"/>
            <w:tcBorders>
              <w:top w:val="single" w:sz="8" w:space="0" w:color="000000"/>
              <w:left w:val="single" w:sz="8" w:space="0" w:color="000000"/>
              <w:bottom w:val="single" w:sz="8" w:space="0" w:color="000000"/>
              <w:right w:val="single" w:sz="8" w:space="0" w:color="000000"/>
            </w:tcBorders>
          </w:tcPr>
          <w:p w14:paraId="15B4BDBC"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Uczestnicy zyskują elementy wiedzy o różnych kręgach kulturowych, orientują się w ich podbudowie religijnej i ideologicznej. Studenci nabywają kompetencje poznawcze oraz funkcjonalne w zakresie dostosowania odpowiedniej metodologii porównawczej do przedmiotu badania. Studenci nabywają umiejętność rozpoznania metod badawczych stosowanych przy opisach różnorodnych kultur i form społecznych z ich instytucjami, wartościami i wzorami zachowań.</w:t>
            </w:r>
          </w:p>
        </w:tc>
      </w:tr>
      <w:tr w:rsidR="008E79D4" w:rsidRPr="00696628" w14:paraId="15B4BDC2" w14:textId="77777777">
        <w:trPr>
          <w:trHeight w:val="620"/>
        </w:trPr>
        <w:tc>
          <w:tcPr>
            <w:tcW w:w="9" w:type="dxa"/>
          </w:tcPr>
          <w:p w14:paraId="15B4BDBE" w14:textId="77777777" w:rsidR="008E79D4" w:rsidRPr="00377F0C" w:rsidRDefault="008E79D4">
            <w:pPr>
              <w:spacing w:after="0"/>
              <w:rPr>
                <w:rFonts w:ascii="Times New Roman" w:eastAsia="Times New Roman" w:hAnsi="Times New Roman" w:cs="Times New Roman"/>
                <w:sz w:val="24"/>
                <w:szCs w:val="24"/>
                <w:lang w:val="pl-PL"/>
              </w:rPr>
            </w:pPr>
          </w:p>
        </w:tc>
        <w:tc>
          <w:tcPr>
            <w:tcW w:w="3828" w:type="dxa"/>
            <w:tcBorders>
              <w:top w:val="single" w:sz="8" w:space="0" w:color="000000"/>
              <w:left w:val="single" w:sz="8" w:space="0" w:color="000000"/>
              <w:bottom w:val="single" w:sz="8" w:space="0" w:color="000000"/>
              <w:right w:val="single" w:sz="8" w:space="0" w:color="000000"/>
            </w:tcBorders>
          </w:tcPr>
          <w:p w14:paraId="15B4BDBF"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Metody i kryteria oceniania dla danej formy dydaktycznej zajęć w ramach przedmiotu* </w:t>
            </w:r>
          </w:p>
        </w:tc>
        <w:tc>
          <w:tcPr>
            <w:tcW w:w="6662" w:type="dxa"/>
            <w:gridSpan w:val="2"/>
            <w:tcBorders>
              <w:top w:val="single" w:sz="8" w:space="0" w:color="000000"/>
              <w:left w:val="single" w:sz="8" w:space="0" w:color="000000"/>
              <w:bottom w:val="single" w:sz="8" w:space="0" w:color="000000"/>
              <w:right w:val="single" w:sz="8" w:space="0" w:color="000000"/>
            </w:tcBorders>
          </w:tcPr>
          <w:p w14:paraId="15B4BDC0"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Metody oceny oparte na kryterium punktacji. Ocena referatów na zajęciach, ocena aktywności i obecności studentów na zajęciach, ocena udziału w dyskusjach (idee, argumentacja), system zaliczeniowy na końcu.</w:t>
            </w:r>
          </w:p>
          <w:p w14:paraId="15B4BDC1"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tc>
      </w:tr>
      <w:tr w:rsidR="008E79D4" w14:paraId="15B4BDC7" w14:textId="77777777">
        <w:trPr>
          <w:trHeight w:val="320"/>
        </w:trPr>
        <w:tc>
          <w:tcPr>
            <w:tcW w:w="9" w:type="dxa"/>
          </w:tcPr>
          <w:p w14:paraId="15B4BDC3" w14:textId="77777777" w:rsidR="008E79D4" w:rsidRPr="00377F0C" w:rsidRDefault="008E79D4">
            <w:pPr>
              <w:spacing w:after="0"/>
              <w:rPr>
                <w:rFonts w:ascii="Times New Roman" w:eastAsia="Times New Roman" w:hAnsi="Times New Roman" w:cs="Times New Roman"/>
                <w:sz w:val="24"/>
                <w:szCs w:val="24"/>
                <w:lang w:val="pl-PL"/>
              </w:rPr>
            </w:pPr>
          </w:p>
        </w:tc>
        <w:tc>
          <w:tcPr>
            <w:tcW w:w="3828" w:type="dxa"/>
            <w:tcBorders>
              <w:top w:val="single" w:sz="8" w:space="0" w:color="000000"/>
              <w:left w:val="single" w:sz="8" w:space="0" w:color="000000"/>
              <w:bottom w:val="single" w:sz="8" w:space="0" w:color="000000"/>
              <w:right w:val="single" w:sz="8" w:space="0" w:color="000000"/>
            </w:tcBorders>
          </w:tcPr>
          <w:p w14:paraId="15B4BDC4"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Sposób zaliczenia dla danej formy dydaktycznej zajęć w ramach przedmiotu </w:t>
            </w:r>
          </w:p>
        </w:tc>
        <w:tc>
          <w:tcPr>
            <w:tcW w:w="6662" w:type="dxa"/>
            <w:gridSpan w:val="2"/>
            <w:tcBorders>
              <w:top w:val="single" w:sz="8" w:space="0" w:color="000000"/>
              <w:left w:val="single" w:sz="8" w:space="0" w:color="000000"/>
              <w:bottom w:val="single" w:sz="8" w:space="0" w:color="000000"/>
              <w:right w:val="single" w:sz="8" w:space="0" w:color="000000"/>
            </w:tcBorders>
          </w:tcPr>
          <w:p w14:paraId="15B4BDC5" w14:textId="77777777" w:rsidR="008E79D4" w:rsidRDefault="00AF3D1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Zaliczenie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ocenę</w:t>
            </w:r>
            <w:proofErr w:type="spellEnd"/>
          </w:p>
          <w:p w14:paraId="15B4BDC6" w14:textId="77777777" w:rsidR="008E79D4" w:rsidRDefault="008E79D4">
            <w:pPr>
              <w:spacing w:after="0" w:line="240" w:lineRule="auto"/>
              <w:jc w:val="both"/>
              <w:rPr>
                <w:rFonts w:ascii="Times New Roman" w:eastAsia="Times New Roman" w:hAnsi="Times New Roman" w:cs="Times New Roman"/>
                <w:sz w:val="24"/>
                <w:szCs w:val="24"/>
              </w:rPr>
            </w:pPr>
          </w:p>
        </w:tc>
      </w:tr>
      <w:tr w:rsidR="008E79D4" w:rsidRPr="00696628" w14:paraId="15B4BE5A" w14:textId="77777777">
        <w:trPr>
          <w:trHeight w:val="220"/>
        </w:trPr>
        <w:tc>
          <w:tcPr>
            <w:tcW w:w="9" w:type="dxa"/>
          </w:tcPr>
          <w:p w14:paraId="15B4BDC8" w14:textId="77777777" w:rsidR="008E79D4" w:rsidRDefault="008E79D4">
            <w:pPr>
              <w:spacing w:after="0"/>
              <w:rPr>
                <w:rFonts w:ascii="Times New Roman" w:eastAsia="Times New Roman" w:hAnsi="Times New Roman" w:cs="Times New Roman"/>
                <w:sz w:val="24"/>
                <w:szCs w:val="24"/>
              </w:rPr>
            </w:pPr>
          </w:p>
        </w:tc>
        <w:tc>
          <w:tcPr>
            <w:tcW w:w="3828" w:type="dxa"/>
            <w:tcBorders>
              <w:top w:val="single" w:sz="8" w:space="0" w:color="000000"/>
              <w:left w:val="single" w:sz="8" w:space="0" w:color="000000"/>
              <w:bottom w:val="single" w:sz="8" w:space="0" w:color="000000"/>
              <w:right w:val="single" w:sz="8" w:space="0" w:color="000000"/>
            </w:tcBorders>
          </w:tcPr>
          <w:p w14:paraId="15B4BDC9"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Zakres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tematów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literatura</w:t>
            </w:r>
            <w:proofErr w:type="spellEnd"/>
          </w:p>
        </w:tc>
        <w:tc>
          <w:tcPr>
            <w:tcW w:w="6662" w:type="dxa"/>
            <w:gridSpan w:val="2"/>
            <w:tcBorders>
              <w:top w:val="single" w:sz="8" w:space="0" w:color="000000"/>
              <w:left w:val="single" w:sz="8" w:space="0" w:color="000000"/>
              <w:bottom w:val="single" w:sz="8" w:space="0" w:color="000000"/>
              <w:right w:val="single" w:sz="8" w:space="0" w:color="000000"/>
            </w:tcBorders>
          </w:tcPr>
          <w:p w14:paraId="15B4BDCA"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Blok 1. </w:t>
            </w:r>
            <w:r w:rsidRPr="00377F0C">
              <w:rPr>
                <w:rFonts w:ascii="Times New Roman" w:eastAsia="Times New Roman" w:hAnsi="Times New Roman" w:cs="Times New Roman"/>
                <w:b/>
                <w:sz w:val="24"/>
                <w:szCs w:val="24"/>
                <w:lang w:val="pl-PL"/>
              </w:rPr>
              <w:t xml:space="preserve">Komunikacja międzykulturowa - psychologia transkulturowa. </w:t>
            </w:r>
            <w:r w:rsidRPr="00377F0C">
              <w:rPr>
                <w:rFonts w:ascii="Times New Roman" w:eastAsia="Times New Roman" w:hAnsi="Times New Roman" w:cs="Times New Roman"/>
                <w:sz w:val="24"/>
                <w:szCs w:val="24"/>
                <w:lang w:val="pl-PL"/>
              </w:rPr>
              <w:t xml:space="preserve">(prow.- prof. dr hab Szymon Wróbel, dr Ewa </w:t>
            </w:r>
            <w:r w:rsidRPr="00377F0C">
              <w:rPr>
                <w:rFonts w:ascii="Times New Roman" w:eastAsia="Times New Roman" w:hAnsi="Times New Roman" w:cs="Times New Roman"/>
                <w:sz w:val="24"/>
                <w:szCs w:val="24"/>
                <w:lang w:val="pl-PL"/>
              </w:rPr>
              <w:lastRenderedPageBreak/>
              <w:t xml:space="preserve">Majewska,  dr </w:t>
            </w:r>
            <w:r w:rsidRPr="00377F0C">
              <w:rPr>
                <w:rFonts w:ascii="Times New Roman" w:eastAsia="Times New Roman" w:hAnsi="Times New Roman" w:cs="Times New Roman"/>
                <w:sz w:val="24"/>
                <w:szCs w:val="24"/>
                <w:highlight w:val="white"/>
                <w:lang w:val="pl-PL"/>
              </w:rPr>
              <w:t>Krzysztof Skonieczny</w:t>
            </w:r>
            <w:r w:rsidRPr="00377F0C">
              <w:rPr>
                <w:rFonts w:ascii="Times New Roman" w:eastAsia="Times New Roman" w:hAnsi="Times New Roman" w:cs="Times New Roman"/>
                <w:sz w:val="24"/>
                <w:szCs w:val="24"/>
                <w:lang w:val="pl-PL"/>
              </w:rPr>
              <w:t>)</w:t>
            </w:r>
          </w:p>
          <w:p w14:paraId="15B4BDCB" w14:textId="77777777" w:rsidR="008E79D4" w:rsidRPr="00377F0C" w:rsidRDefault="008E79D4">
            <w:pPr>
              <w:spacing w:after="0" w:line="240" w:lineRule="auto"/>
              <w:jc w:val="both"/>
              <w:rPr>
                <w:rFonts w:ascii="Times New Roman" w:eastAsia="Times New Roman" w:hAnsi="Times New Roman" w:cs="Times New Roman"/>
                <w:b/>
                <w:sz w:val="24"/>
                <w:szCs w:val="24"/>
                <w:lang w:val="pl-PL"/>
              </w:rPr>
            </w:pPr>
          </w:p>
          <w:p w14:paraId="15B4BDCC" w14:textId="77777777" w:rsidR="008E79D4" w:rsidRPr="00377F0C" w:rsidRDefault="00AF3D1B">
            <w:pPr>
              <w:spacing w:after="0" w:line="240" w:lineRule="auto"/>
              <w:rPr>
                <w:rFonts w:ascii="Times New Roman" w:eastAsia="Times New Roman" w:hAnsi="Times New Roman" w:cs="Times New Roman"/>
                <w:i/>
                <w:sz w:val="24"/>
                <w:szCs w:val="24"/>
                <w:lang w:val="pl-PL"/>
              </w:rPr>
            </w:pPr>
            <w:r w:rsidRPr="00377F0C">
              <w:rPr>
                <w:rFonts w:ascii="Times New Roman" w:eastAsia="Times New Roman" w:hAnsi="Times New Roman" w:cs="Times New Roman"/>
                <w:i/>
                <w:sz w:val="24"/>
                <w:szCs w:val="24"/>
                <w:lang w:val="pl-PL"/>
              </w:rPr>
              <w:t xml:space="preserve">Główne cele teoretyczne: </w:t>
            </w:r>
          </w:p>
          <w:p w14:paraId="15B4BDCD"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Zajęcia mają na celu rozwinięcie problematyki granicy i pograniczności z perspektywy psychologicznej, socjologicznej i politycznej. Przyjmuje, że pogranicze to obszar (przestrzenny, czasowy, pojęciowy) fundamentalnej ambiwalencji, dialektycznej sprzeczności, dwu- i wieloznaczności, na którym zjawisko nie jest </w:t>
            </w:r>
            <w:r w:rsidRPr="00377F0C">
              <w:rPr>
                <w:rFonts w:ascii="Times New Roman" w:eastAsia="Times New Roman" w:hAnsi="Times New Roman" w:cs="Times New Roman"/>
                <w:i/>
                <w:sz w:val="24"/>
                <w:szCs w:val="24"/>
                <w:lang w:val="pl-PL"/>
              </w:rPr>
              <w:t xml:space="preserve">jeszcze </w:t>
            </w:r>
            <w:r w:rsidRPr="00377F0C">
              <w:rPr>
                <w:rFonts w:ascii="Times New Roman" w:eastAsia="Times New Roman" w:hAnsi="Times New Roman" w:cs="Times New Roman"/>
                <w:sz w:val="24"/>
                <w:szCs w:val="24"/>
                <w:lang w:val="pl-PL"/>
              </w:rPr>
              <w:t xml:space="preserve">albo </w:t>
            </w:r>
            <w:r w:rsidRPr="00377F0C">
              <w:rPr>
                <w:rFonts w:ascii="Times New Roman" w:eastAsia="Times New Roman" w:hAnsi="Times New Roman" w:cs="Times New Roman"/>
                <w:i/>
                <w:sz w:val="24"/>
                <w:szCs w:val="24"/>
                <w:lang w:val="pl-PL"/>
              </w:rPr>
              <w:t>już</w:t>
            </w:r>
            <w:r w:rsidRPr="00377F0C">
              <w:rPr>
                <w:rFonts w:ascii="Times New Roman" w:eastAsia="Times New Roman" w:hAnsi="Times New Roman" w:cs="Times New Roman"/>
                <w:sz w:val="24"/>
                <w:szCs w:val="24"/>
                <w:lang w:val="pl-PL"/>
              </w:rPr>
              <w:t xml:space="preserve"> określone, bo przenika się z innym albo przechodzi w inne; obszar rozmytej granicy między „jednym” a „drugim”, obszar różnicowania się rozumianego jako ruch prowadzący w końcu do ukształtowania się opozycji, tym samym zaś do ustanowienia granicy, ale też, odwrotnie, jako ruch znoszenia opozycji przez kolejne zróżnicowania i mediacje; słowem, obszar jednoczesnego ścierania się i przenikania różnych sił. Pogranicze może, lecz nie musi być rozumiane jako peryferia; jest obszarem szczególnie intensywnego, często wprost dramatycznego dziania się, „pracy różnicy”.</w:t>
            </w:r>
          </w:p>
          <w:p w14:paraId="15B4BDCE"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Jeśli tak rozumiemy pogranicze, to nowoczesność w jakimś sensie w całości jest „pograniczna”, czyli nieredukowalnie wieloznaczna i zawsze „niespełniona”, albowiem nigdy nie jest, lecz zawsze się staje – rodzi się, umiera, odradza – w różnych formach i w wielu wymiarach, w rzeczywistości nigdzie i nigdy nie osiągając statusu spełnionej i jednoznacznej istoty. Ale ten jej ambiwalentny charakter najwyraźniej objawia się na pograniczach rozumianych stosunkowo najbardziej dosłownie, tj. jako pogranicza geograficzne oraz jako pogranicza historyczne. Są to obszary przechodzenia od-do, zarazem końce i początki, na których nowoczesność staje się w sposób szczególnie dramatyczny i może szczególnie symptomatyczny, tj. w sposób, który rzuca decydujące światło na jej centralną formę. Można zatem widzieć w pograniczu (pograniczach) rodzaj laboratorium nowoczesności, a więc miejsce (miejsca), w którym (których) różne momenty, zasady czy tendencje zostają przetworzone – albo same przetwarzają się – w taki sposób, że lepiej widać możliwe relacje między nimi, a także między nimi a ich Innym. Głównym problemem zajęć będzie przemyślenia tak pojętej idei pograniczności dla ludzkiej tożsamości.</w:t>
            </w:r>
          </w:p>
          <w:p w14:paraId="15B4BDCF" w14:textId="77777777" w:rsidR="008E79D4" w:rsidRPr="00377F0C" w:rsidRDefault="00AF3D1B">
            <w:pPr>
              <w:spacing w:after="0" w:line="240" w:lineRule="auto"/>
              <w:rPr>
                <w:rFonts w:ascii="Times New Roman" w:eastAsia="Times New Roman" w:hAnsi="Times New Roman" w:cs="Times New Roman"/>
                <w:i/>
                <w:sz w:val="24"/>
                <w:szCs w:val="24"/>
                <w:lang w:val="pl-PL"/>
              </w:rPr>
            </w:pPr>
            <w:r w:rsidRPr="00377F0C">
              <w:rPr>
                <w:rFonts w:ascii="Times New Roman" w:eastAsia="Times New Roman" w:hAnsi="Times New Roman" w:cs="Times New Roman"/>
                <w:i/>
                <w:sz w:val="24"/>
                <w:szCs w:val="24"/>
                <w:lang w:val="pl-PL"/>
              </w:rPr>
              <w:t xml:space="preserve"> </w:t>
            </w:r>
          </w:p>
          <w:p w14:paraId="15B4BDD0"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i/>
                <w:sz w:val="24"/>
                <w:szCs w:val="24"/>
                <w:lang w:val="pl-PL"/>
              </w:rPr>
              <w:t>Główne cele dydaktyczne:</w:t>
            </w:r>
            <w:r w:rsidRPr="00377F0C">
              <w:rPr>
                <w:rFonts w:ascii="Times New Roman" w:eastAsia="Times New Roman" w:hAnsi="Times New Roman" w:cs="Times New Roman"/>
                <w:sz w:val="24"/>
                <w:szCs w:val="24"/>
                <w:lang w:val="pl-PL"/>
              </w:rPr>
              <w:t xml:space="preserve"> </w:t>
            </w:r>
          </w:p>
          <w:p w14:paraId="15B4BDD1"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Próba uświadomienia studentom, iż lansowanie takiego a nie innego „typu człowieczeństwa” (lub takiej a nie innej koncepcji normy) nie jest czymś obojętnym dla stylu kultury i całości życia społecznego, podobnie jak lansowanie „zdrowego” preparatu farmakologicznego, czy „zdrowego” systemu w zakresie gospodarki. Chodzi więc o spełnienie postulatu ujawniania propagandowych funkcji koncepcji teoretycznych, ustalanych zależności i wniosków praktycznych, wysnuwanych z badań ze względu na zasadnicze wartości świata ludzkiego, w szczególności wartości kontrowersyjne związane z konfliktowymi dążeniami grup ludzkich.</w:t>
            </w:r>
          </w:p>
          <w:p w14:paraId="15B4BDD2"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Omówione zostaną praktyki normalizacyjne (w sensie nadanym </w:t>
            </w:r>
            <w:r w:rsidRPr="00377F0C">
              <w:rPr>
                <w:rFonts w:ascii="Times New Roman" w:eastAsia="Times New Roman" w:hAnsi="Times New Roman" w:cs="Times New Roman"/>
                <w:sz w:val="24"/>
                <w:szCs w:val="24"/>
                <w:lang w:val="pl-PL"/>
              </w:rPr>
              <w:lastRenderedPageBreak/>
              <w:t xml:space="preserve">temu wyrażeniu przez M. Foucaulta) i ingerencje normotwórcze (dokonującej się głównie w działalności psychiatrycznej oraz klinicznej psychologicznej, podobnie pedagogicznej i wychowawczej) jako formy działalności, podlegającej tym samym kryteriom oceny jak wszelkie inne działania – mianowicie ocenie ze względu na postulaty tolerancji i swobody indywidualnej. </w:t>
            </w:r>
          </w:p>
          <w:p w14:paraId="15B4BDD3" w14:textId="77777777" w:rsidR="008E79D4" w:rsidRPr="00377F0C" w:rsidRDefault="008E79D4">
            <w:pPr>
              <w:spacing w:after="0" w:line="240" w:lineRule="auto"/>
              <w:rPr>
                <w:rFonts w:ascii="Times New Roman" w:eastAsia="Times New Roman" w:hAnsi="Times New Roman" w:cs="Times New Roman"/>
                <w:sz w:val="24"/>
                <w:szCs w:val="24"/>
                <w:lang w:val="pl-PL"/>
              </w:rPr>
            </w:pPr>
          </w:p>
          <w:p w14:paraId="15B4BDD4" w14:textId="77777777" w:rsidR="008E79D4" w:rsidRPr="00377F0C" w:rsidRDefault="00AF3D1B">
            <w:pPr>
              <w:spacing w:after="0" w:line="240" w:lineRule="auto"/>
              <w:rPr>
                <w:rFonts w:ascii="Times New Roman" w:eastAsia="Times New Roman" w:hAnsi="Times New Roman" w:cs="Times New Roman"/>
                <w:i/>
                <w:sz w:val="24"/>
                <w:szCs w:val="24"/>
                <w:lang w:val="pl-PL"/>
              </w:rPr>
            </w:pPr>
            <w:r w:rsidRPr="00377F0C">
              <w:rPr>
                <w:rFonts w:ascii="Times New Roman" w:eastAsia="Times New Roman" w:hAnsi="Times New Roman" w:cs="Times New Roman"/>
                <w:i/>
                <w:sz w:val="24"/>
                <w:szCs w:val="24"/>
                <w:lang w:val="pl-PL"/>
              </w:rPr>
              <w:t>Treści programowe:</w:t>
            </w:r>
          </w:p>
          <w:p w14:paraId="15B4BDD5"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 </w:t>
            </w:r>
          </w:p>
          <w:p w14:paraId="15B4BDD6"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b/>
                <w:sz w:val="24"/>
                <w:szCs w:val="24"/>
                <w:lang w:val="pl-PL"/>
              </w:rPr>
              <w:t>Tematy seminarium</w:t>
            </w:r>
            <w:r w:rsidRPr="00377F0C">
              <w:rPr>
                <w:rFonts w:ascii="Times New Roman" w:eastAsia="Times New Roman" w:hAnsi="Times New Roman" w:cs="Times New Roman"/>
                <w:sz w:val="24"/>
                <w:szCs w:val="24"/>
                <w:lang w:val="pl-PL"/>
              </w:rPr>
              <w:t>:</w:t>
            </w:r>
          </w:p>
          <w:p w14:paraId="15B4BDD7"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Człowiek w świecie wartości.</w:t>
            </w:r>
          </w:p>
          <w:p w14:paraId="15B4BDD8"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Rozwój moralny człowieka –  od heteronomii do autonomii. Rozwój standardów hedonistycznych, konformistycznych, poznawczych i aksjologicznych. </w:t>
            </w:r>
          </w:p>
          <w:p w14:paraId="15B4BDD9"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Stereotypy społeczne – tendencja do uproszczonego spostrzegania grup ludzkich. </w:t>
            </w:r>
          </w:p>
          <w:p w14:paraId="15B4BDDA"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Tożsamość społeczna – pytania o źródła rolę i konsekwencje.</w:t>
            </w:r>
          </w:p>
          <w:p w14:paraId="15B4BDDB"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Percepcja sprawiedliwości i jej rola w życiu społecznym.</w:t>
            </w:r>
          </w:p>
          <w:p w14:paraId="15B4BDDC"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Historia metod (technik) upodmiotowienia.</w:t>
            </w:r>
          </w:p>
          <w:p w14:paraId="15B4BDDD"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Formy komunikacji niewerbalnej.</w:t>
            </w:r>
          </w:p>
          <w:p w14:paraId="15B4BDDE" w14:textId="77777777" w:rsidR="008E79D4" w:rsidRPr="00377F0C" w:rsidRDefault="008E79D4">
            <w:pPr>
              <w:spacing w:after="0" w:line="240" w:lineRule="auto"/>
              <w:rPr>
                <w:rFonts w:ascii="Times New Roman" w:eastAsia="Times New Roman" w:hAnsi="Times New Roman" w:cs="Times New Roman"/>
                <w:sz w:val="24"/>
                <w:szCs w:val="24"/>
                <w:lang w:val="pl-PL"/>
              </w:rPr>
            </w:pPr>
          </w:p>
          <w:p w14:paraId="15B4BDDF" w14:textId="77777777" w:rsidR="008E79D4" w:rsidRPr="00377F0C" w:rsidRDefault="008E79D4">
            <w:pPr>
              <w:spacing w:after="0" w:line="240" w:lineRule="auto"/>
              <w:rPr>
                <w:rFonts w:ascii="Times New Roman" w:eastAsia="Times New Roman" w:hAnsi="Times New Roman" w:cs="Times New Roman"/>
                <w:sz w:val="24"/>
                <w:szCs w:val="24"/>
                <w:lang w:val="pl-PL"/>
              </w:rPr>
            </w:pPr>
          </w:p>
          <w:p w14:paraId="15B4BDE0"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b/>
                <w:sz w:val="24"/>
                <w:szCs w:val="24"/>
                <w:lang w:val="pl-PL"/>
              </w:rPr>
              <w:t>Tematy warsztatów</w:t>
            </w:r>
            <w:r w:rsidRPr="00377F0C">
              <w:rPr>
                <w:rFonts w:ascii="Times New Roman" w:eastAsia="Times New Roman" w:hAnsi="Times New Roman" w:cs="Times New Roman"/>
                <w:sz w:val="24"/>
                <w:szCs w:val="24"/>
                <w:lang w:val="pl-PL"/>
              </w:rPr>
              <w:t>:</w:t>
            </w:r>
          </w:p>
          <w:p w14:paraId="15B4BDE1"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Poczucie sprawstwa i jego konsekwencje dla działania.</w:t>
            </w:r>
          </w:p>
          <w:p w14:paraId="15B4BDE2"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Pojęcie dystansu interpersonalnego oraz komunikacji proksemicznej.</w:t>
            </w:r>
          </w:p>
          <w:p w14:paraId="15B4BDE3"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Możliwość kontaktu z radykalnie Innym – Człowiek i Zwierzę.</w:t>
            </w:r>
          </w:p>
          <w:p w14:paraId="15B4BDE4"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W poszukiwaniu uniwersalnego wzorca porozumienia – emocje.</w:t>
            </w:r>
          </w:p>
          <w:p w14:paraId="15B4BDE5"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W poszukiwaniu uniwersalnego wzorca porozumienia – rozum.</w:t>
            </w:r>
          </w:p>
          <w:p w14:paraId="15B4BDE6"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Nowoczesne zmagania z Innością w kontekście studiów postkolonialnych.</w:t>
            </w:r>
          </w:p>
          <w:p w14:paraId="15B4BDE7"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Postkolonializm w kontekście lokalnym, czyli Polska jako Pogranicze.</w:t>
            </w:r>
          </w:p>
          <w:p w14:paraId="15B4BDE8" w14:textId="77777777" w:rsidR="008E79D4" w:rsidRPr="00377F0C" w:rsidRDefault="00AF3D1B">
            <w:pPr>
              <w:spacing w:after="0" w:line="256"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Spostrzeganie interpersonalne oraz deformacje w spostrzeganiu ludzi oraz mechanizmy ich powstawania.</w:t>
            </w:r>
          </w:p>
          <w:p w14:paraId="15B4BDE9"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Czystość i brud. Kulturowa konstrukcja podmiotu.</w:t>
            </w:r>
          </w:p>
          <w:p w14:paraId="15B4BDEA"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Przekład jako farmakon. Doświadczenie obcości w języku.</w:t>
            </w:r>
          </w:p>
          <w:p w14:paraId="15B4BDEB"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p w14:paraId="15B4BDEC"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p w14:paraId="15B4BDED"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p w14:paraId="15B4BDEE"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b/>
                <w:sz w:val="24"/>
                <w:szCs w:val="24"/>
                <w:lang w:val="pl-PL"/>
              </w:rPr>
              <w:t xml:space="preserve">Blok 2. Globalizacja. Pogranicza cywilizacyjne. </w:t>
            </w:r>
            <w:r w:rsidRPr="00377F0C">
              <w:rPr>
                <w:rFonts w:ascii="Times New Roman" w:eastAsia="Times New Roman" w:hAnsi="Times New Roman" w:cs="Times New Roman"/>
                <w:sz w:val="24"/>
                <w:szCs w:val="24"/>
                <w:lang w:val="pl-PL"/>
              </w:rPr>
              <w:t>(prow.- dr hab Zoja Morochojewa, dr Ewa Majewska)</w:t>
            </w:r>
          </w:p>
          <w:p w14:paraId="15B4BDEF" w14:textId="156FD6D0"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Uniwersytet staje się miejscem spotkań międzycywilizacyjnych. Nabiera wymiaru globalnego. Celem zajęć jest próba określenia tego wymiaru przy pomocy zasady zróżnicowania (</w:t>
            </w:r>
            <w:r w:rsidRPr="00377F0C">
              <w:rPr>
                <w:rFonts w:ascii="Times New Roman" w:eastAsia="Times New Roman" w:hAnsi="Times New Roman" w:cs="Times New Roman"/>
                <w:i/>
                <w:sz w:val="24"/>
                <w:szCs w:val="24"/>
                <w:lang w:val="pl-PL"/>
              </w:rPr>
              <w:t>différance</w:t>
            </w:r>
            <w:r w:rsidRPr="00377F0C">
              <w:rPr>
                <w:rFonts w:ascii="Times New Roman" w:eastAsia="Times New Roman" w:hAnsi="Times New Roman" w:cs="Times New Roman"/>
                <w:sz w:val="24"/>
                <w:szCs w:val="24"/>
                <w:lang w:val="pl-PL"/>
              </w:rPr>
              <w:t xml:space="preserve">, wg Jacques'a Derridy), zmienności, uwzględniającej różnorodność  cywilizacyjną. W takim ujęciu globalizacja jest procesem międzycywilizacyjnym, który łączy w sobie ambiwalentne cechy, rozbieżne zjawiska i trendy. Proces ten jest pozbawiony jednoznaczności, wzbudza przeciwstawne oceny. Globalizacja jako  proces międzycywilizacyjny  i jest Pograniczem. Określenie </w:t>
            </w:r>
            <w:r w:rsidRPr="00377F0C">
              <w:rPr>
                <w:rFonts w:ascii="Times New Roman" w:eastAsia="Times New Roman" w:hAnsi="Times New Roman" w:cs="Times New Roman"/>
                <w:sz w:val="24"/>
                <w:szCs w:val="24"/>
                <w:lang w:val="pl-PL"/>
              </w:rPr>
              <w:lastRenderedPageBreak/>
              <w:t xml:space="preserve">tego procesu przebiega przez  porównanie  cywilizacji współdziałających wraz z innymi podmiotami. W tym procesie może być ukryty stan równowagi który ma cechy dialogiczne i </w:t>
            </w:r>
            <w:r w:rsidR="00377F0C">
              <w:rPr>
                <w:rFonts w:ascii="Times New Roman" w:eastAsia="Times New Roman" w:hAnsi="Times New Roman" w:cs="Times New Roman"/>
                <w:sz w:val="24"/>
                <w:szCs w:val="24"/>
                <w:lang w:val="pl-PL"/>
              </w:rPr>
              <w:t>służy</w:t>
            </w:r>
            <w:r w:rsidRPr="00377F0C">
              <w:rPr>
                <w:rFonts w:ascii="Times New Roman" w:eastAsia="Times New Roman" w:hAnsi="Times New Roman" w:cs="Times New Roman"/>
                <w:sz w:val="24"/>
                <w:szCs w:val="24"/>
                <w:lang w:val="pl-PL"/>
              </w:rPr>
              <w:t xml:space="preserve"> punktem odniesienia. Czy ten proces oznacza zanik różnorodności cywilizacyjnej, czy powstanie nowych zjawisk? Czy można mówić o jakimkolwiek punkcie odniesienia</w:t>
            </w:r>
            <w:r w:rsidR="00377F0C">
              <w:rPr>
                <w:rFonts w:ascii="Times New Roman" w:eastAsia="Times New Roman" w:hAnsi="Times New Roman" w:cs="Times New Roman"/>
                <w:sz w:val="24"/>
                <w:szCs w:val="24"/>
                <w:lang w:val="pl-PL"/>
              </w:rPr>
              <w:t xml:space="preserve"> w ogóle i</w:t>
            </w:r>
            <w:r w:rsidRPr="00377F0C">
              <w:rPr>
                <w:rFonts w:ascii="Times New Roman" w:eastAsia="Times New Roman" w:hAnsi="Times New Roman" w:cs="Times New Roman"/>
                <w:sz w:val="24"/>
                <w:szCs w:val="24"/>
                <w:lang w:val="pl-PL"/>
              </w:rPr>
              <w:t xml:space="preserve"> pluralizm jako cecha globalizacji może być podważany? </w:t>
            </w:r>
          </w:p>
          <w:p w14:paraId="15B4BDF0"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Do rozważań o Pograniczu międzycywilizacyjnym w kontekście globalizacji, potrzebne jest określenie rzeczywistości jako pewnej całości. Jednak zastosowanie zasady zróżnicowania zmienia tryb klasycznych pojęć, kształtuje je w innym wymiarze.    Dr Ewa Majewska opracowała w formie warsztatów kluczowe kwestie: intymność, płeć, wspólnota, norma i społeczeństwo. Przedstawi je jako budowane na Pograniczu tego, co publiczne i tego, co prywatne. Każdego z uczestników zajęć czekają wyprawy przez granice kultur, państw, obyczajów, podziały płciowe dyscyplinarne i etniczne aby wpisać własne doświadczenia wielości, ambiwalencji i sprzeczności. </w:t>
            </w:r>
          </w:p>
          <w:p w14:paraId="15B4BDF1"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p w14:paraId="15B4BDF2" w14:textId="77777777" w:rsidR="008E79D4" w:rsidRPr="00377F0C" w:rsidRDefault="00AF3D1B">
            <w:pPr>
              <w:spacing w:after="0" w:line="240" w:lineRule="auto"/>
              <w:jc w:val="both"/>
              <w:rPr>
                <w:rFonts w:ascii="Times New Roman" w:eastAsia="Times New Roman" w:hAnsi="Times New Roman" w:cs="Times New Roman"/>
                <w:b/>
                <w:sz w:val="24"/>
                <w:szCs w:val="24"/>
                <w:lang w:val="pl-PL"/>
              </w:rPr>
            </w:pPr>
            <w:r w:rsidRPr="00377F0C">
              <w:rPr>
                <w:rFonts w:ascii="Times New Roman" w:eastAsia="Times New Roman" w:hAnsi="Times New Roman" w:cs="Times New Roman"/>
                <w:b/>
                <w:sz w:val="24"/>
                <w:szCs w:val="24"/>
                <w:lang w:val="pl-PL"/>
              </w:rPr>
              <w:t>Tematy seminarium:</w:t>
            </w:r>
          </w:p>
          <w:p w14:paraId="15B4BDF3"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Globalność a lokalność. Małżeństwo i rodzina w społeczeństwie globalnym.</w:t>
            </w:r>
          </w:p>
          <w:p w14:paraId="15B4BDF4"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Globalizacja. Zderzenie cywilizacji? </w:t>
            </w:r>
          </w:p>
          <w:p w14:paraId="15B4BDF5"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Tworzenie mechanizmów kulturowej regulacji w epoce globalizacji: świadomość, wartości, normy. </w:t>
            </w:r>
          </w:p>
          <w:p w14:paraId="15B4BDF6"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Transkorporacji a państwa narodowe. </w:t>
            </w:r>
          </w:p>
          <w:p w14:paraId="15B4BDF7"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Migracja a nierówności w gospodarce globalnej. </w:t>
            </w:r>
          </w:p>
          <w:p w14:paraId="15B4BDF8"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Jednostka ludzka w „społeczeństwie sieciowym”. </w:t>
            </w:r>
          </w:p>
          <w:p w14:paraId="15B4BDF9"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Komunikacja międzycywiizacyjna w epoce globalizacji. </w:t>
            </w:r>
          </w:p>
          <w:p w14:paraId="15B4BDFA"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Spotkanie międzycywilizacyjne a dialog.</w:t>
            </w:r>
          </w:p>
          <w:p w14:paraId="15B4BDFB" w14:textId="77777777" w:rsidR="008E79D4" w:rsidRPr="00377F0C" w:rsidRDefault="00AF3D1B">
            <w:pPr>
              <w:spacing w:after="0" w:line="240" w:lineRule="auto"/>
              <w:ind w:firstLine="284"/>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 </w:t>
            </w:r>
          </w:p>
          <w:p w14:paraId="15B4BDFC" w14:textId="77777777" w:rsidR="008E79D4" w:rsidRPr="00377F0C" w:rsidRDefault="00AF3D1B">
            <w:pPr>
              <w:spacing w:after="0" w:line="240" w:lineRule="auto"/>
              <w:jc w:val="both"/>
              <w:rPr>
                <w:rFonts w:ascii="Times New Roman" w:eastAsia="Times New Roman" w:hAnsi="Times New Roman" w:cs="Times New Roman"/>
                <w:b/>
                <w:sz w:val="24"/>
                <w:szCs w:val="24"/>
                <w:lang w:val="pl-PL"/>
              </w:rPr>
            </w:pPr>
            <w:r w:rsidRPr="00377F0C">
              <w:rPr>
                <w:rFonts w:ascii="Times New Roman" w:eastAsia="Times New Roman" w:hAnsi="Times New Roman" w:cs="Times New Roman"/>
                <w:b/>
                <w:sz w:val="24"/>
                <w:szCs w:val="24"/>
                <w:lang w:val="pl-PL"/>
              </w:rPr>
              <w:t>Tematy warsztatów:</w:t>
            </w:r>
          </w:p>
          <w:p w14:paraId="15B4BDFD"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Miasto wielokulturowe jako symbol Pogranicza. </w:t>
            </w:r>
          </w:p>
          <w:p w14:paraId="15B4BDFE"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Hybrydy i Pogranicza.</w:t>
            </w:r>
          </w:p>
          <w:p w14:paraId="15B4BDFF"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System symboli globalnych. </w:t>
            </w:r>
          </w:p>
          <w:p w14:paraId="15B4BE00"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Publiczne/ Prywatne. </w:t>
            </w:r>
          </w:p>
          <w:p w14:paraId="15B4BE01"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Stereotypy i Piętno.</w:t>
            </w:r>
          </w:p>
          <w:p w14:paraId="15B4BE02"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Migracja a stosunek aktorów Pogranicza do ziemi, do Domu, do Ojczyzny, do władzy itd. </w:t>
            </w:r>
          </w:p>
          <w:p w14:paraId="15B4BE03"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Cechy gospodarki światowej: 1.Mobilność czynników produkcji, a zwłaszcza kapitału, kwalifikowanych kadr oraz innowacji. 2.Równoczesność. 3.Równoległości. 4.Pluralizm. </w:t>
            </w:r>
          </w:p>
          <w:p w14:paraId="15B4BE04"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p w14:paraId="15B4BE05" w14:textId="77777777" w:rsidR="008E79D4" w:rsidRPr="00377F0C" w:rsidRDefault="008E79D4">
            <w:pPr>
              <w:spacing w:after="0" w:line="240" w:lineRule="auto"/>
              <w:ind w:firstLine="284"/>
              <w:jc w:val="both"/>
              <w:rPr>
                <w:rFonts w:ascii="Times New Roman" w:eastAsia="Times New Roman" w:hAnsi="Times New Roman" w:cs="Times New Roman"/>
                <w:sz w:val="24"/>
                <w:szCs w:val="24"/>
                <w:lang w:val="pl-PL"/>
              </w:rPr>
            </w:pPr>
          </w:p>
          <w:p w14:paraId="15B4BE06"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p w14:paraId="15B4BE07"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b/>
                <w:sz w:val="24"/>
                <w:szCs w:val="24"/>
                <w:lang w:val="pl-PL"/>
              </w:rPr>
              <w:t>Blok 3. Historia kontaktów cywilizacyjnych</w:t>
            </w:r>
            <w:r w:rsidRPr="00377F0C">
              <w:rPr>
                <w:rFonts w:ascii="Times New Roman" w:eastAsia="Times New Roman" w:hAnsi="Times New Roman" w:cs="Times New Roman"/>
                <w:sz w:val="24"/>
                <w:szCs w:val="24"/>
                <w:lang w:val="pl-PL"/>
              </w:rPr>
              <w:t xml:space="preserve"> (prow. -dr Matylda Urjasz-Raczko)</w:t>
            </w:r>
          </w:p>
          <w:p w14:paraId="15B4BE08"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Na zajęciach podejmiemy problemy cywilizacji, zarówno w ujęciu  teoretycznym i praktycznym. Będziemy się starali przyglądać różnym problemom, okolicznościom, które towarzyszyły spotkaniom cywilizacyjnym na przestrzeni wieków. Zastanowimy się jakie warunki muszą zajść aby rzeczywiste </w:t>
            </w:r>
            <w:r w:rsidRPr="00377F0C">
              <w:rPr>
                <w:rFonts w:ascii="Times New Roman" w:eastAsia="Times New Roman" w:hAnsi="Times New Roman" w:cs="Times New Roman"/>
                <w:sz w:val="24"/>
                <w:szCs w:val="24"/>
                <w:lang w:val="pl-PL"/>
              </w:rPr>
              <w:lastRenderedPageBreak/>
              <w:t>“spotkanie” było możliwe.</w:t>
            </w:r>
          </w:p>
          <w:p w14:paraId="15B4BE09"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Celem zajęć jest pokazanie studentom, że ich sytuacja jest czymś innym niż przebywaniem w innej kulturze. To sytuacja trudna, z którą różnie sobie radzono, w zależności od miejsca, czasu i okoliczności. Będzie to wymagać od studentów zdefiniowania cywilizacji własnej i tej do której przybywają. Określenia najbardziej podstawowych, osobistych wartości i poddaniu ich pod rozwagę.</w:t>
            </w:r>
          </w:p>
          <w:p w14:paraId="15B4BE0A"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p w14:paraId="15B4BE0B"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b/>
                <w:sz w:val="24"/>
                <w:szCs w:val="24"/>
                <w:lang w:val="pl-PL"/>
              </w:rPr>
              <w:t>Tematy seminarium:</w:t>
            </w:r>
          </w:p>
          <w:p w14:paraId="15B4BE0C"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Transhumanizm. Wyzwania współczesności</w:t>
            </w:r>
          </w:p>
          <w:p w14:paraId="15B4BE0D"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Więzi wewnątrzcywilizacyjne</w:t>
            </w:r>
          </w:p>
          <w:p w14:paraId="15B4BE0E"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Po co nam cywilizacja?</w:t>
            </w:r>
          </w:p>
          <w:p w14:paraId="15B4BE0F"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Ekspansja cywilizacji w epoce kolonialnej. Zmiana paradygmatu</w:t>
            </w:r>
          </w:p>
          <w:p w14:paraId="15B4BE10"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Ekspansja cywilizacji w epoce przedkolonialnej. </w:t>
            </w:r>
          </w:p>
          <w:p w14:paraId="15B4BE11"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Człowiek pogranicza. </w:t>
            </w:r>
          </w:p>
          <w:p w14:paraId="15B4BE12"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Polityczne strefy pogranicza.</w:t>
            </w:r>
          </w:p>
          <w:p w14:paraId="15B4BE13"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Granice cywilizacyjne: otwarte i zamknięte.</w:t>
            </w:r>
          </w:p>
          <w:p w14:paraId="15B4BE14"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 </w:t>
            </w:r>
          </w:p>
          <w:p w14:paraId="15B4BE15"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b/>
                <w:sz w:val="24"/>
                <w:szCs w:val="24"/>
                <w:lang w:val="pl-PL"/>
              </w:rPr>
              <w:t>Tematy warsztatów:</w:t>
            </w:r>
          </w:p>
          <w:p w14:paraId="15B4BE16"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Jednostka w korporacji międzynarodowej.</w:t>
            </w:r>
          </w:p>
          <w:p w14:paraId="15B4BE17"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Płaszczyzny porozumienia wewnątrz cywilizacji.</w:t>
            </w:r>
          </w:p>
          <w:p w14:paraId="15B4BE18"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Teorie i struktury.</w:t>
            </w:r>
          </w:p>
          <w:p w14:paraId="15B4BE19"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Czynniki dominacji Zachodu nad Wschodem.</w:t>
            </w:r>
          </w:p>
          <w:p w14:paraId="15B4BE1A"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Zysk i jednostka.</w:t>
            </w:r>
          </w:p>
          <w:p w14:paraId="15B4BE1B"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Dyplomata, pisarz, misjonarz.</w:t>
            </w:r>
          </w:p>
          <w:p w14:paraId="15B4BE1C"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Hiszpania i I Rzeczpospolita.</w:t>
            </w:r>
          </w:p>
          <w:p w14:paraId="15B4BE1D"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Obraz Innego. Orientalizm i okcydentalizm.</w:t>
            </w:r>
          </w:p>
          <w:p w14:paraId="15B4BE1E"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p w14:paraId="15B4BE1F"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p w14:paraId="15B4BE20" w14:textId="77777777" w:rsidR="008E79D4" w:rsidRPr="00377F0C" w:rsidRDefault="00AF3D1B">
            <w:pPr>
              <w:spacing w:after="0" w:line="240" w:lineRule="auto"/>
              <w:jc w:val="both"/>
              <w:rPr>
                <w:rFonts w:ascii="Times New Roman" w:eastAsia="Times New Roman" w:hAnsi="Times New Roman" w:cs="Times New Roman"/>
                <w:b/>
                <w:sz w:val="24"/>
                <w:szCs w:val="24"/>
                <w:lang w:val="pl-PL"/>
              </w:rPr>
            </w:pPr>
            <w:r w:rsidRPr="00377F0C">
              <w:rPr>
                <w:rFonts w:ascii="Times New Roman" w:eastAsia="Times New Roman" w:hAnsi="Times New Roman" w:cs="Times New Roman"/>
                <w:b/>
                <w:sz w:val="24"/>
                <w:szCs w:val="24"/>
                <w:lang w:val="pl-PL"/>
              </w:rPr>
              <w:t>Blok 4. Codzienność bycia. Antropologiczne ujęcie zagadnień społecznych.</w:t>
            </w:r>
            <w:r w:rsidRPr="00377F0C">
              <w:rPr>
                <w:rFonts w:ascii="Times New Roman" w:eastAsia="Times New Roman" w:hAnsi="Times New Roman" w:cs="Times New Roman"/>
                <w:sz w:val="24"/>
                <w:szCs w:val="24"/>
                <w:lang w:val="pl-PL"/>
              </w:rPr>
              <w:t>(prow. - Anna Wróbel, dr hab Zoja Morochojewa)</w:t>
            </w:r>
          </w:p>
          <w:p w14:paraId="15B4BE21" w14:textId="77777777" w:rsidR="008E79D4" w:rsidRPr="00377F0C" w:rsidRDefault="00AF3D1B">
            <w:pPr>
              <w:spacing w:after="0" w:line="240" w:lineRule="auto"/>
              <w:jc w:val="both"/>
              <w:rPr>
                <w:rFonts w:ascii="Times New Roman" w:eastAsia="Times New Roman" w:hAnsi="Times New Roman" w:cs="Times New Roman"/>
                <w:color w:val="222222"/>
                <w:sz w:val="24"/>
                <w:szCs w:val="24"/>
                <w:highlight w:val="white"/>
                <w:lang w:val="pl-PL"/>
              </w:rPr>
            </w:pPr>
            <w:r w:rsidRPr="00377F0C">
              <w:rPr>
                <w:rFonts w:ascii="Times New Roman" w:eastAsia="Times New Roman" w:hAnsi="Times New Roman" w:cs="Times New Roman"/>
                <w:color w:val="222222"/>
                <w:sz w:val="24"/>
                <w:szCs w:val="24"/>
                <w:highlight w:val="white"/>
                <w:lang w:val="pl-PL"/>
              </w:rPr>
              <w:t xml:space="preserve">Sytuacja zagranicznego studenta jest z punktu widzenia antropologii kulturowej sytuacją kontaktu kulturowego i sytuacją międzykulturową. Celem zajęć jest dostarczenie studentom narzędzi opisu i analizy dwóch rzeczywistości – tej, z której przyjechali i rzeczywistości polskiej. Szczególny nacisk zostanie położony na moment przejścia z jednej rzeczywistości do drugiej. </w:t>
            </w:r>
          </w:p>
          <w:p w14:paraId="15B4BE22" w14:textId="77777777" w:rsidR="008E79D4" w:rsidRPr="00377F0C" w:rsidRDefault="008E79D4">
            <w:pPr>
              <w:spacing w:after="0" w:line="240" w:lineRule="auto"/>
              <w:jc w:val="both"/>
              <w:rPr>
                <w:rFonts w:ascii="Times New Roman" w:eastAsia="Times New Roman" w:hAnsi="Times New Roman" w:cs="Times New Roman"/>
                <w:color w:val="222222"/>
                <w:sz w:val="24"/>
                <w:szCs w:val="24"/>
                <w:highlight w:val="white"/>
                <w:lang w:val="pl-PL"/>
              </w:rPr>
            </w:pPr>
          </w:p>
          <w:p w14:paraId="15B4BE23" w14:textId="77777777" w:rsidR="008E79D4" w:rsidRPr="00377F0C" w:rsidRDefault="00AF3D1B">
            <w:pPr>
              <w:spacing w:after="0" w:line="240" w:lineRule="auto"/>
              <w:jc w:val="both"/>
              <w:rPr>
                <w:rFonts w:ascii="Times New Roman" w:eastAsia="Times New Roman" w:hAnsi="Times New Roman" w:cs="Times New Roman"/>
                <w:color w:val="222222"/>
                <w:sz w:val="24"/>
                <w:szCs w:val="24"/>
                <w:highlight w:val="white"/>
                <w:lang w:val="pl-PL"/>
              </w:rPr>
            </w:pPr>
            <w:r w:rsidRPr="00377F0C">
              <w:rPr>
                <w:rFonts w:ascii="Times New Roman" w:eastAsia="Times New Roman" w:hAnsi="Times New Roman" w:cs="Times New Roman"/>
                <w:color w:val="222222"/>
                <w:sz w:val="24"/>
                <w:szCs w:val="24"/>
                <w:highlight w:val="white"/>
                <w:lang w:val="pl-PL"/>
              </w:rPr>
              <w:t>Spojrzenie antropologiczne pozwala na uchwycenie tego, co dzieje się, gdy przekraczamy granicę własnej kultury stając się Obcym dla innych i sami stając w obliczu obcości. Analizować będziemy reakcje na odmienność kulturową i różne etapy adaptacji podczas życia w innej kulturze.  Celem jest uświadomienie sobie, że uczestnictwo w innej kulturze może być procesem świadomym, ale wymagającym określonych kompetencji.</w:t>
            </w:r>
          </w:p>
          <w:p w14:paraId="15B4BE24" w14:textId="77777777" w:rsidR="008E79D4" w:rsidRPr="00377F0C" w:rsidRDefault="008E79D4">
            <w:pPr>
              <w:spacing w:after="0" w:line="240" w:lineRule="auto"/>
              <w:jc w:val="both"/>
              <w:rPr>
                <w:rFonts w:ascii="Times New Roman" w:eastAsia="Times New Roman" w:hAnsi="Times New Roman" w:cs="Times New Roman"/>
                <w:color w:val="222222"/>
                <w:sz w:val="24"/>
                <w:szCs w:val="24"/>
                <w:highlight w:val="white"/>
                <w:lang w:val="pl-PL"/>
              </w:rPr>
            </w:pPr>
          </w:p>
          <w:p w14:paraId="15B4BE25" w14:textId="77777777" w:rsidR="008E79D4" w:rsidRPr="00377F0C" w:rsidRDefault="00AF3D1B">
            <w:pPr>
              <w:spacing w:after="0" w:line="240" w:lineRule="auto"/>
              <w:jc w:val="both"/>
              <w:rPr>
                <w:rFonts w:ascii="Times New Roman" w:eastAsia="Times New Roman" w:hAnsi="Times New Roman" w:cs="Times New Roman"/>
                <w:color w:val="222222"/>
                <w:sz w:val="24"/>
                <w:szCs w:val="24"/>
                <w:highlight w:val="white"/>
                <w:lang w:val="pl-PL"/>
              </w:rPr>
            </w:pPr>
            <w:r w:rsidRPr="00377F0C">
              <w:rPr>
                <w:rFonts w:ascii="Times New Roman" w:eastAsia="Times New Roman" w:hAnsi="Times New Roman" w:cs="Times New Roman"/>
                <w:color w:val="222222"/>
                <w:sz w:val="24"/>
                <w:szCs w:val="24"/>
                <w:highlight w:val="white"/>
                <w:lang w:val="pl-PL"/>
              </w:rPr>
              <w:t xml:space="preserve">Kulturowe spojrzenie na nową rzeczywistość – jako na całościowy system innych norm, wartości, zachowań i kompetencji - ma pomóc studentom w poradzeniu sobie z różnymi poziomami szoku kulturowego i problemami w adaptacji, w </w:t>
            </w:r>
            <w:r w:rsidRPr="00377F0C">
              <w:rPr>
                <w:rFonts w:ascii="Times New Roman" w:eastAsia="Times New Roman" w:hAnsi="Times New Roman" w:cs="Times New Roman"/>
                <w:color w:val="222222"/>
                <w:sz w:val="24"/>
                <w:szCs w:val="24"/>
                <w:highlight w:val="white"/>
                <w:lang w:val="pl-PL"/>
              </w:rPr>
              <w:lastRenderedPageBreak/>
              <w:t>łatwiejszym (świadomym) poruszaniu się po nieczytelnych dla nich regułach obcej kultury, w tym w relacjach z Polakami. Ostatnim etapem zajęć będzie analiza zmiany wynikającej z kontaktu z inną kulturą.</w:t>
            </w:r>
          </w:p>
          <w:p w14:paraId="15B4BE26"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p w14:paraId="15B4BE27"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b/>
                <w:sz w:val="24"/>
                <w:szCs w:val="24"/>
                <w:lang w:val="pl-PL"/>
              </w:rPr>
              <w:t>Tematy seminarium:</w:t>
            </w:r>
          </w:p>
          <w:p w14:paraId="15B4BE28"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Dom i rodzina w kulturze własnej/w kulturze polskiej.</w:t>
            </w:r>
          </w:p>
          <w:p w14:paraId="15B4BE29"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Kontakt kulturowy/moment przejścia z jednej rzeczywistości do drugiej.</w:t>
            </w:r>
          </w:p>
          <w:p w14:paraId="15B4BE2A"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Jednostka, wspólnota, zbiorowość w cywilizacjach.</w:t>
            </w:r>
          </w:p>
          <w:p w14:paraId="15B4BE2B"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Adaptacja - współistnienie z obcą kulturą.</w:t>
            </w:r>
          </w:p>
          <w:p w14:paraId="15B4BE2C"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Strategie przetrwania w cywilizacjach.</w:t>
            </w:r>
          </w:p>
          <w:p w14:paraId="15B4BE2D"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Zmiana na poziomie jednostki: gdzie jesteś „u siebie”? Gdzie jest Twój dom?</w:t>
            </w:r>
          </w:p>
          <w:p w14:paraId="15B4BE2E"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Otwarcie się na odmienność kulturową.</w:t>
            </w:r>
          </w:p>
          <w:p w14:paraId="15B4BE2F"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Dialog międzycywilizacyjny.</w:t>
            </w:r>
          </w:p>
          <w:p w14:paraId="15B4BE30"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Współczesne społeczeństwa wielokulturowe Wschodu i Zachodu. </w:t>
            </w:r>
          </w:p>
          <w:p w14:paraId="15B4BE31"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 </w:t>
            </w:r>
          </w:p>
          <w:p w14:paraId="15B4BE32"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b/>
                <w:sz w:val="24"/>
                <w:szCs w:val="24"/>
                <w:lang w:val="pl-PL"/>
              </w:rPr>
              <w:t>Tematy warsztatów:</w:t>
            </w:r>
          </w:p>
          <w:p w14:paraId="15B4BE33"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Rodzina w systemie wartości.</w:t>
            </w:r>
          </w:p>
          <w:p w14:paraId="15B4BE34"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Definiowanie tożsamości w kontakcie kulturowym.</w:t>
            </w:r>
          </w:p>
          <w:p w14:paraId="15B4BE35"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Tożsamość grupy a tożsamość jednostki</w:t>
            </w:r>
          </w:p>
          <w:p w14:paraId="15B4BE36"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Formy współistnienia odmienności w różnych cywilizacjach (integracja, adaptacja, dystans, izolacja, ksenofobia).</w:t>
            </w:r>
          </w:p>
          <w:p w14:paraId="15B4BE37"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Wzajemność, wymiana, pomoc.</w:t>
            </w:r>
          </w:p>
          <w:p w14:paraId="15B4BE38"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Tożsamość na pograniczu.</w:t>
            </w:r>
          </w:p>
          <w:p w14:paraId="15B4BE39"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Rozszerzanie kompetencji międzykulturowych.</w:t>
            </w:r>
          </w:p>
          <w:p w14:paraId="15B4BE3A"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Wymiana kompetencji międzykulturowych.</w:t>
            </w:r>
          </w:p>
          <w:p w14:paraId="15B4BE3B"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Różnorodność stylów życia, możliwości wyboru.</w:t>
            </w:r>
          </w:p>
          <w:p w14:paraId="15B4BE3C"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p w14:paraId="15B4BE3D" w14:textId="77777777" w:rsidR="008E79D4" w:rsidRPr="00377F0C" w:rsidRDefault="008E79D4">
            <w:pPr>
              <w:spacing w:after="0" w:line="240" w:lineRule="auto"/>
              <w:jc w:val="both"/>
              <w:rPr>
                <w:rFonts w:ascii="Times New Roman" w:eastAsia="Times New Roman" w:hAnsi="Times New Roman" w:cs="Times New Roman"/>
                <w:b/>
                <w:sz w:val="24"/>
                <w:szCs w:val="24"/>
                <w:lang w:val="pl-PL"/>
              </w:rPr>
            </w:pPr>
          </w:p>
          <w:p w14:paraId="15B4BE3E" w14:textId="77777777" w:rsidR="008E79D4" w:rsidRPr="00377F0C" w:rsidRDefault="008E79D4">
            <w:pPr>
              <w:spacing w:after="0" w:line="240" w:lineRule="auto"/>
              <w:ind w:firstLine="284"/>
              <w:jc w:val="both"/>
              <w:rPr>
                <w:rFonts w:ascii="Times New Roman" w:eastAsia="Times New Roman" w:hAnsi="Times New Roman" w:cs="Times New Roman"/>
                <w:sz w:val="24"/>
                <w:szCs w:val="24"/>
                <w:lang w:val="pl-PL"/>
              </w:rPr>
            </w:pPr>
          </w:p>
          <w:p w14:paraId="15B4BE3F"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Blok </w:t>
            </w:r>
            <w:r w:rsidRPr="00377F0C">
              <w:rPr>
                <w:rFonts w:ascii="Times New Roman" w:eastAsia="Times New Roman" w:hAnsi="Times New Roman" w:cs="Times New Roman"/>
                <w:b/>
                <w:sz w:val="24"/>
                <w:szCs w:val="24"/>
                <w:lang w:val="pl-PL"/>
              </w:rPr>
              <w:t xml:space="preserve">5. Świat duchowy: Religia, Filozofia, Sztuka, Literatura a różnorodność cywilizacyjna. </w:t>
            </w:r>
            <w:r w:rsidRPr="00377F0C">
              <w:rPr>
                <w:rFonts w:ascii="Times New Roman" w:eastAsia="Times New Roman" w:hAnsi="Times New Roman" w:cs="Times New Roman"/>
                <w:sz w:val="24"/>
                <w:szCs w:val="24"/>
                <w:lang w:val="pl-PL"/>
              </w:rPr>
              <w:t>(prow. -dr Konrad Kuczara)</w:t>
            </w:r>
          </w:p>
          <w:p w14:paraId="15B4BE40" w14:textId="77777777" w:rsidR="008E79D4" w:rsidRPr="00377F0C" w:rsidRDefault="00AF3D1B">
            <w:pPr>
              <w:spacing w:after="0" w:line="240" w:lineRule="auto"/>
              <w:jc w:val="both"/>
              <w:rPr>
                <w:rFonts w:ascii="Times New Roman" w:eastAsia="Times New Roman" w:hAnsi="Times New Roman" w:cs="Times New Roman"/>
                <w:sz w:val="24"/>
                <w:szCs w:val="24"/>
                <w:highlight w:val="white"/>
                <w:lang w:val="pl-PL"/>
              </w:rPr>
            </w:pPr>
            <w:r w:rsidRPr="00377F0C">
              <w:rPr>
                <w:rFonts w:ascii="Times New Roman" w:eastAsia="Times New Roman" w:hAnsi="Times New Roman" w:cs="Times New Roman"/>
                <w:sz w:val="24"/>
                <w:szCs w:val="24"/>
                <w:highlight w:val="white"/>
                <w:lang w:val="pl-PL"/>
              </w:rPr>
              <w:t xml:space="preserve">  Pod kątem zasady zróżnicowania dekonstrukcja i dialog </w:t>
            </w:r>
            <w:r w:rsidRPr="00377F0C">
              <w:rPr>
                <w:rFonts w:ascii="Times New Roman" w:eastAsia="Times New Roman" w:hAnsi="Times New Roman" w:cs="Times New Roman"/>
                <w:sz w:val="24"/>
                <w:szCs w:val="24"/>
                <w:lang w:val="pl-PL"/>
              </w:rPr>
              <w:t>jako strony komunikacji międzycywilizacyjnej stają się współzależne między sobą</w:t>
            </w:r>
            <w:r w:rsidRPr="00377F0C">
              <w:rPr>
                <w:rFonts w:ascii="Times New Roman" w:eastAsia="Times New Roman" w:hAnsi="Times New Roman" w:cs="Times New Roman"/>
                <w:sz w:val="24"/>
                <w:szCs w:val="24"/>
                <w:highlight w:val="white"/>
                <w:lang w:val="pl-PL"/>
              </w:rPr>
              <w:t>. Wtedy wymiar Zachód-Wschód przestaje być dychotomią na zasadzie podobieństwa i inaczej wyświetla konteksty dla określenia jednostki ludzkiej w różnych cywilizacjach.  Na zajęciach w centrum uwagi znajdują się uniwersum symboliczne i obrazy świata spotykających się kultur, zostanie  uwzględnione zróżnicowane tło religijne (chrześcijaństwo wschodnie i zachodnie, buddyzm, szamanizm, taoizm, islam).</w:t>
            </w:r>
          </w:p>
          <w:p w14:paraId="15B4BE41" w14:textId="77777777" w:rsidR="008E79D4" w:rsidRPr="00377F0C" w:rsidRDefault="00AF3D1B">
            <w:pPr>
              <w:spacing w:after="0" w:line="240" w:lineRule="auto"/>
              <w:jc w:val="both"/>
              <w:rPr>
                <w:rFonts w:ascii="Times New Roman" w:eastAsia="Times New Roman" w:hAnsi="Times New Roman" w:cs="Times New Roman"/>
                <w:sz w:val="24"/>
                <w:szCs w:val="24"/>
                <w:highlight w:val="white"/>
                <w:lang w:val="pl-PL"/>
              </w:rPr>
            </w:pPr>
            <w:r w:rsidRPr="00377F0C">
              <w:rPr>
                <w:rFonts w:ascii="Times New Roman" w:eastAsia="Times New Roman" w:hAnsi="Times New Roman" w:cs="Times New Roman"/>
                <w:sz w:val="24"/>
                <w:szCs w:val="24"/>
                <w:highlight w:val="white"/>
                <w:lang w:val="pl-PL"/>
              </w:rPr>
              <w:t xml:space="preserve">Szczególnie będziemy rozważać to, jaki wpływ ma  religia na życie codzienne jednostki, używając liczne przykłady tego, jak wyznawcy różnych religii postrzegają cykl życia człowieka oraz tego, jaką rolę pełnią  ,,święte miasta” w życiu jednostki i społeczeństwa.  </w:t>
            </w:r>
          </w:p>
          <w:p w14:paraId="15B4BE42" w14:textId="77777777" w:rsidR="008E79D4" w:rsidRPr="00377F0C" w:rsidRDefault="00AF3D1B">
            <w:pPr>
              <w:spacing w:after="0" w:line="240" w:lineRule="auto"/>
              <w:jc w:val="both"/>
              <w:rPr>
                <w:rFonts w:ascii="Arial" w:eastAsia="Arial" w:hAnsi="Arial" w:cs="Arial"/>
                <w:sz w:val="24"/>
                <w:szCs w:val="24"/>
                <w:highlight w:val="white"/>
                <w:lang w:val="pl-PL"/>
              </w:rPr>
            </w:pPr>
            <w:r w:rsidRPr="00377F0C">
              <w:rPr>
                <w:rFonts w:ascii="Times New Roman" w:eastAsia="Times New Roman" w:hAnsi="Times New Roman" w:cs="Times New Roman"/>
                <w:sz w:val="24"/>
                <w:szCs w:val="24"/>
                <w:highlight w:val="white"/>
                <w:lang w:val="pl-PL"/>
              </w:rPr>
              <w:t xml:space="preserve">Celem zajęć będzie także pokazanie studentom jak religia, sztuka, literatura i edukacja może pomóc im odnaleźć się w kraju, w którym studiują. Najpierw, jednak będą musieli określić swój </w:t>
            </w:r>
            <w:r w:rsidRPr="00377F0C">
              <w:rPr>
                <w:rFonts w:ascii="Times New Roman" w:eastAsia="Times New Roman" w:hAnsi="Times New Roman" w:cs="Times New Roman"/>
                <w:sz w:val="24"/>
                <w:szCs w:val="24"/>
                <w:highlight w:val="white"/>
                <w:lang w:val="pl-PL"/>
              </w:rPr>
              <w:lastRenderedPageBreak/>
              <w:t xml:space="preserve">stosunek do ,,świata duchowego”, będą musieli zastanowić się, w jaki sposób ich zetknięcie się ze sztuką i literaturą wpłynęło na ich postrzeganie siebie i otaczającego ich świata. W jakim stopniu wyznawana przez nich i ich rodziny religia miała wpływ na kształtowanie się ich osobowości oraz widzenia świata, aby później starać się zrozumieć ,,świat duchowy” społeczeństwa w którym żyją. </w:t>
            </w:r>
            <w:r w:rsidRPr="00377F0C">
              <w:rPr>
                <w:rFonts w:ascii="Arial" w:eastAsia="Arial" w:hAnsi="Arial" w:cs="Arial"/>
                <w:sz w:val="24"/>
                <w:szCs w:val="24"/>
                <w:highlight w:val="white"/>
                <w:lang w:val="pl-PL"/>
              </w:rPr>
              <w:t xml:space="preserve"> </w:t>
            </w:r>
          </w:p>
          <w:p w14:paraId="15B4BE43"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p w14:paraId="15B4BE44"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p w14:paraId="15B4BE45" w14:textId="77777777" w:rsidR="008E79D4" w:rsidRPr="00377F0C" w:rsidRDefault="00AF3D1B">
            <w:pPr>
              <w:spacing w:after="0" w:line="240" w:lineRule="auto"/>
              <w:jc w:val="both"/>
              <w:rPr>
                <w:rFonts w:ascii="Times New Roman" w:eastAsia="Times New Roman" w:hAnsi="Times New Roman" w:cs="Times New Roman"/>
                <w:b/>
                <w:sz w:val="24"/>
                <w:szCs w:val="24"/>
                <w:lang w:val="pl-PL"/>
              </w:rPr>
            </w:pPr>
            <w:r w:rsidRPr="00377F0C">
              <w:rPr>
                <w:rFonts w:ascii="Times New Roman" w:eastAsia="Times New Roman" w:hAnsi="Times New Roman" w:cs="Times New Roman"/>
                <w:b/>
                <w:sz w:val="24"/>
                <w:szCs w:val="24"/>
                <w:lang w:val="pl-PL"/>
              </w:rPr>
              <w:t>Tematy seminarium:</w:t>
            </w:r>
          </w:p>
          <w:p w14:paraId="15B4BE46"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Religia, sztuka, filozofia a stan psychosomatyczny jednostki (w cywilizacjach Wschodu i Zachodu)</w:t>
            </w:r>
          </w:p>
          <w:p w14:paraId="15B4BE47"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Twórczość artystyczna: Wschód i Zachód</w:t>
            </w:r>
          </w:p>
          <w:p w14:paraId="15B4BE48"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Buddyzm a chrześcijaństwo (filozofia życia, sztuka i edukacja)</w:t>
            </w:r>
          </w:p>
          <w:p w14:paraId="15B4BE49"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Ekumenizm i dialog międzyreligijny a małżeństwa mieszane</w:t>
            </w:r>
          </w:p>
          <w:p w14:paraId="15B4BE4A" w14:textId="77777777" w:rsidR="008E79D4" w:rsidRPr="00696628"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Miejsca sacrum - jednoczą czy dzielą (np. </w:t>
            </w:r>
            <w:r w:rsidRPr="00696628">
              <w:rPr>
                <w:rFonts w:ascii="Times New Roman" w:eastAsia="Times New Roman" w:hAnsi="Times New Roman" w:cs="Times New Roman"/>
                <w:sz w:val="24"/>
                <w:szCs w:val="24"/>
                <w:lang w:val="pl-PL"/>
              </w:rPr>
              <w:t>Jerozolima)</w:t>
            </w:r>
          </w:p>
          <w:p w14:paraId="15B4BE4B"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Religia a cykl życia</w:t>
            </w:r>
          </w:p>
          <w:p w14:paraId="15B4BE4C"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Indywidualizm jednostki a twórczość (sztuka, literatura, filozofia)</w:t>
            </w:r>
          </w:p>
          <w:p w14:paraId="15B4BE4D"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Symbole, języki, komunikacja</w:t>
            </w:r>
          </w:p>
          <w:p w14:paraId="15B4BE4E"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p w14:paraId="15B4BE4F" w14:textId="77777777" w:rsidR="008E79D4" w:rsidRPr="00377F0C" w:rsidRDefault="00AF3D1B">
            <w:pPr>
              <w:spacing w:after="0" w:line="240" w:lineRule="auto"/>
              <w:jc w:val="both"/>
              <w:rPr>
                <w:rFonts w:ascii="Times New Roman" w:eastAsia="Times New Roman" w:hAnsi="Times New Roman" w:cs="Times New Roman"/>
                <w:b/>
                <w:sz w:val="24"/>
                <w:szCs w:val="24"/>
                <w:lang w:val="pl-PL"/>
              </w:rPr>
            </w:pPr>
            <w:r w:rsidRPr="00377F0C">
              <w:rPr>
                <w:rFonts w:ascii="Times New Roman" w:eastAsia="Times New Roman" w:hAnsi="Times New Roman" w:cs="Times New Roman"/>
                <w:b/>
                <w:sz w:val="24"/>
                <w:szCs w:val="24"/>
                <w:lang w:val="pl-PL"/>
              </w:rPr>
              <w:t>Tematy warsztatów:</w:t>
            </w:r>
          </w:p>
          <w:p w14:paraId="15B4BE50"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Narodziny, zdrowie, choroba i śmierć (rodzina i jednostka a system religijny). </w:t>
            </w:r>
          </w:p>
          <w:p w14:paraId="15B4BE51"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Od narodzin do śmierci: religia, sztuka, filozofia i edukacja</w:t>
            </w:r>
          </w:p>
          <w:p w14:paraId="15B4BE52"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Miłość i współczucie w buddyzmie i chrześcijaństwie</w:t>
            </w:r>
          </w:p>
          <w:p w14:paraId="15B4BE53"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Wolność jednostki - prawa jednostki (życie zgodne z daną filozofią, wolność religijna, prawo do przynależenia do określonej wspólnoty)</w:t>
            </w:r>
          </w:p>
          <w:p w14:paraId="15B4BE54"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Miejsca święte a rozwój gospodarki. Sytuacja ekonomiczna a rozwój duchowy</w:t>
            </w:r>
          </w:p>
          <w:p w14:paraId="15B4BE55"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Kalendarz religijny (religie monoteistyczne i politeistyczne)</w:t>
            </w:r>
          </w:p>
          <w:p w14:paraId="15B4BE56"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Salman Rushdie, ,,Wschód, Zachód"</w:t>
            </w:r>
          </w:p>
          <w:p w14:paraId="15B4BE57"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Ikona - przekaz, słowo, znak</w:t>
            </w:r>
          </w:p>
          <w:p w14:paraId="15B4BE58"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p w14:paraId="15B4BE59"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tc>
      </w:tr>
      <w:tr w:rsidR="008E79D4" w:rsidRPr="00696628" w14:paraId="15B4BE5F" w14:textId="77777777">
        <w:trPr>
          <w:trHeight w:val="420"/>
        </w:trPr>
        <w:tc>
          <w:tcPr>
            <w:tcW w:w="9" w:type="dxa"/>
          </w:tcPr>
          <w:p w14:paraId="15B4BE5B" w14:textId="77777777" w:rsidR="008E79D4" w:rsidRPr="00377F0C" w:rsidRDefault="008E79D4">
            <w:pPr>
              <w:spacing w:after="0"/>
              <w:rPr>
                <w:rFonts w:ascii="Times New Roman" w:eastAsia="Times New Roman" w:hAnsi="Times New Roman" w:cs="Times New Roman"/>
                <w:sz w:val="24"/>
                <w:szCs w:val="24"/>
                <w:lang w:val="pl-PL"/>
              </w:rPr>
            </w:pPr>
          </w:p>
        </w:tc>
        <w:tc>
          <w:tcPr>
            <w:tcW w:w="3828" w:type="dxa"/>
            <w:tcBorders>
              <w:top w:val="single" w:sz="8" w:space="0" w:color="000000"/>
              <w:left w:val="single" w:sz="8" w:space="0" w:color="000000"/>
              <w:bottom w:val="single" w:sz="8" w:space="0" w:color="000000"/>
              <w:right w:val="single" w:sz="8" w:space="0" w:color="000000"/>
            </w:tcBorders>
          </w:tcPr>
          <w:p w14:paraId="15B4BE5C"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Metody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dydaktyczne</w:t>
            </w:r>
            <w:proofErr w:type="spellEnd"/>
            <w:r>
              <w:rPr>
                <w:rFonts w:ascii="Times New Roman" w:eastAsia="Times New Roman" w:hAnsi="Times New Roman" w:cs="Times New Roman"/>
                <w:sz w:val="24"/>
                <w:szCs w:val="24"/>
              </w:rPr>
              <w:t xml:space="preserve"> </w:t>
            </w:r>
          </w:p>
        </w:tc>
        <w:tc>
          <w:tcPr>
            <w:tcW w:w="6662" w:type="dxa"/>
            <w:gridSpan w:val="2"/>
            <w:tcBorders>
              <w:top w:val="single" w:sz="8" w:space="0" w:color="000000"/>
              <w:left w:val="single" w:sz="8" w:space="0" w:color="000000"/>
              <w:bottom w:val="single" w:sz="8" w:space="0" w:color="000000"/>
              <w:right w:val="single" w:sz="8" w:space="0" w:color="000000"/>
            </w:tcBorders>
          </w:tcPr>
          <w:p w14:paraId="15B4BE5D"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integracyjne, definiowania pojęć, priorytetów,  twórczego rozwiązywania problemów, współpracy, dyskusyjne</w:t>
            </w:r>
          </w:p>
          <w:p w14:paraId="15B4BE5E"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tc>
      </w:tr>
      <w:tr w:rsidR="008E79D4" w:rsidRPr="00696628" w14:paraId="15B4BE85" w14:textId="77777777">
        <w:trPr>
          <w:trHeight w:val="420"/>
        </w:trPr>
        <w:tc>
          <w:tcPr>
            <w:tcW w:w="9" w:type="dxa"/>
          </w:tcPr>
          <w:p w14:paraId="15B4BE60" w14:textId="77777777" w:rsidR="008E79D4" w:rsidRPr="00377F0C" w:rsidRDefault="008E79D4">
            <w:pPr>
              <w:spacing w:after="0"/>
              <w:rPr>
                <w:rFonts w:ascii="Times New Roman" w:eastAsia="Times New Roman" w:hAnsi="Times New Roman" w:cs="Times New Roman"/>
                <w:sz w:val="24"/>
                <w:szCs w:val="24"/>
                <w:lang w:val="pl-PL"/>
              </w:rPr>
            </w:pPr>
          </w:p>
        </w:tc>
        <w:tc>
          <w:tcPr>
            <w:tcW w:w="3828" w:type="dxa"/>
            <w:tcBorders>
              <w:top w:val="single" w:sz="8" w:space="0" w:color="000000"/>
              <w:left w:val="single" w:sz="8" w:space="0" w:color="000000"/>
              <w:bottom w:val="single" w:sz="8" w:space="0" w:color="000000"/>
              <w:right w:val="single" w:sz="8" w:space="0" w:color="000000"/>
            </w:tcBorders>
          </w:tcPr>
          <w:p w14:paraId="15B4BE61"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Literatura</w:t>
            </w:r>
            <w:proofErr w:type="spellEnd"/>
            <w:r>
              <w:rPr>
                <w:rFonts w:ascii="Times New Roman" w:eastAsia="Times New Roman" w:hAnsi="Times New Roman" w:cs="Times New Roman"/>
                <w:sz w:val="24"/>
                <w:szCs w:val="24"/>
              </w:rPr>
              <w:t xml:space="preserve"> </w:t>
            </w:r>
          </w:p>
        </w:tc>
        <w:tc>
          <w:tcPr>
            <w:tcW w:w="6662" w:type="dxa"/>
            <w:gridSpan w:val="2"/>
            <w:tcBorders>
              <w:top w:val="single" w:sz="8" w:space="0" w:color="000000"/>
              <w:left w:val="single" w:sz="8" w:space="0" w:color="000000"/>
              <w:bottom w:val="single" w:sz="8" w:space="0" w:color="000000"/>
              <w:right w:val="single" w:sz="8" w:space="0" w:color="000000"/>
            </w:tcBorders>
          </w:tcPr>
          <w:p w14:paraId="15B4BE62" w14:textId="77777777" w:rsidR="008E79D4" w:rsidRPr="00377F0C" w:rsidRDefault="00AF3D1B">
            <w:pPr>
              <w:spacing w:after="0" w:line="240" w:lineRule="auto"/>
              <w:jc w:val="both"/>
              <w:rPr>
                <w:rFonts w:ascii="Times New Roman" w:eastAsia="Times New Roman" w:hAnsi="Times New Roman" w:cs="Times New Roman"/>
                <w:i/>
                <w:sz w:val="24"/>
                <w:szCs w:val="24"/>
                <w:lang w:val="pl-PL"/>
              </w:rPr>
            </w:pPr>
            <w:r w:rsidRPr="00377F0C">
              <w:rPr>
                <w:rFonts w:ascii="Times New Roman" w:eastAsia="Times New Roman" w:hAnsi="Times New Roman" w:cs="Times New Roman"/>
                <w:i/>
                <w:sz w:val="24"/>
                <w:szCs w:val="24"/>
                <w:lang w:val="pl-PL"/>
              </w:rPr>
              <w:t>A. LITERATURA OBOWIĄZKOWA:</w:t>
            </w:r>
          </w:p>
          <w:p w14:paraId="15B4BE63" w14:textId="4FA75B19"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Appadurai A.</w:t>
            </w:r>
            <w:r w:rsidR="00972B00">
              <w:rPr>
                <w:rFonts w:ascii="Times New Roman" w:eastAsia="Times New Roman" w:hAnsi="Times New Roman" w:cs="Times New Roman"/>
                <w:sz w:val="24"/>
                <w:szCs w:val="24"/>
                <w:lang w:val="pl-PL"/>
              </w:rPr>
              <w:t xml:space="preserve"> </w:t>
            </w:r>
            <w:r w:rsidRPr="00377F0C">
              <w:rPr>
                <w:rFonts w:ascii="Times New Roman" w:eastAsia="Times New Roman" w:hAnsi="Times New Roman" w:cs="Times New Roman"/>
                <w:sz w:val="24"/>
                <w:szCs w:val="24"/>
                <w:lang w:val="pl-PL"/>
              </w:rPr>
              <w:t>(2005) Nowoczesność bez granic. Kulturowe wymiary globalizacji, przekład i wstęp Pucek Z., Kraków</w:t>
            </w:r>
          </w:p>
          <w:p w14:paraId="15B4BE64"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Bauman Z.  (1973) </w:t>
            </w:r>
            <w:r>
              <w:rPr>
                <w:rFonts w:ascii="Times New Roman" w:eastAsia="Times New Roman" w:hAnsi="Times New Roman" w:cs="Times New Roman"/>
                <w:i/>
                <w:sz w:val="24"/>
                <w:szCs w:val="24"/>
              </w:rPr>
              <w:t>Culture as Praxis.</w:t>
            </w:r>
            <w:r>
              <w:rPr>
                <w:rFonts w:ascii="Times New Roman" w:eastAsia="Times New Roman" w:hAnsi="Times New Roman" w:cs="Times New Roman"/>
                <w:sz w:val="24"/>
                <w:szCs w:val="24"/>
              </w:rPr>
              <w:t xml:space="preserve"> London: Routledge &amp; Kegan Paul.</w:t>
            </w:r>
          </w:p>
          <w:p w14:paraId="15B4BE65"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Bauman Z.  (2005) </w:t>
            </w:r>
            <w:r>
              <w:rPr>
                <w:rFonts w:ascii="Times New Roman" w:eastAsia="Times New Roman" w:hAnsi="Times New Roman" w:cs="Times New Roman"/>
                <w:i/>
                <w:sz w:val="24"/>
                <w:szCs w:val="24"/>
              </w:rPr>
              <w:t>Liquid Life</w:t>
            </w:r>
            <w:r>
              <w:rPr>
                <w:rFonts w:ascii="Times New Roman" w:eastAsia="Times New Roman" w:hAnsi="Times New Roman" w:cs="Times New Roman"/>
                <w:sz w:val="24"/>
                <w:szCs w:val="24"/>
              </w:rPr>
              <w:t>. Cambridge: Polity.</w:t>
            </w:r>
          </w:p>
          <w:p w14:paraId="15B4BE66"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Bauman Z.  (2006) </w:t>
            </w:r>
            <w:r>
              <w:rPr>
                <w:rFonts w:ascii="Times New Roman" w:eastAsia="Times New Roman" w:hAnsi="Times New Roman" w:cs="Times New Roman"/>
                <w:i/>
                <w:sz w:val="24"/>
                <w:szCs w:val="24"/>
              </w:rPr>
              <w:t>Liquid Times: Living in an Age of Uncertainty</w:t>
            </w:r>
            <w:r>
              <w:rPr>
                <w:rFonts w:ascii="Times New Roman" w:eastAsia="Times New Roman" w:hAnsi="Times New Roman" w:cs="Times New Roman"/>
                <w:sz w:val="24"/>
                <w:szCs w:val="24"/>
              </w:rPr>
              <w:t>. Cambridge: Polity.</w:t>
            </w:r>
          </w:p>
          <w:p w14:paraId="15B4BE67"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Bauman Z. (2016) </w:t>
            </w:r>
            <w:r>
              <w:rPr>
                <w:rFonts w:ascii="Times New Roman" w:eastAsia="Times New Roman" w:hAnsi="Times New Roman" w:cs="Times New Roman"/>
                <w:i/>
                <w:sz w:val="24"/>
                <w:szCs w:val="24"/>
              </w:rPr>
              <w:t xml:space="preserve">Strangers at Our Door, </w:t>
            </w:r>
            <w:r>
              <w:rPr>
                <w:rFonts w:ascii="Times New Roman" w:eastAsia="Times New Roman" w:hAnsi="Times New Roman" w:cs="Times New Roman"/>
                <w:sz w:val="24"/>
                <w:szCs w:val="24"/>
              </w:rPr>
              <w:t>Cambridge: Polity.</w:t>
            </w:r>
          </w:p>
          <w:p w14:paraId="15B4BE68" w14:textId="77777777" w:rsidR="008E79D4" w:rsidRDefault="00AF3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Globalization and Social Change. (2002) Ed by </w:t>
            </w:r>
            <w:proofErr w:type="spellStart"/>
            <w:r>
              <w:rPr>
                <w:rFonts w:ascii="Times New Roman" w:eastAsia="Times New Roman" w:hAnsi="Times New Roman" w:cs="Times New Roman"/>
                <w:sz w:val="24"/>
                <w:szCs w:val="24"/>
              </w:rPr>
              <w:t>J.D.Schmidt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J.Hersh</w:t>
            </w:r>
            <w:proofErr w:type="spellEnd"/>
            <w:r>
              <w:rPr>
                <w:rFonts w:ascii="Times New Roman" w:eastAsia="Times New Roman" w:hAnsi="Times New Roman" w:cs="Times New Roman"/>
                <w:sz w:val="24"/>
                <w:szCs w:val="24"/>
              </w:rPr>
              <w:t xml:space="preserve">. Routledge. </w:t>
            </w:r>
          </w:p>
          <w:p w14:paraId="15B4BE69"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Habermas J., </w:t>
            </w:r>
            <w:r w:rsidRPr="00377F0C">
              <w:rPr>
                <w:rFonts w:ascii="Times New Roman" w:eastAsia="Times New Roman" w:hAnsi="Times New Roman" w:cs="Times New Roman"/>
                <w:i/>
                <w:sz w:val="24"/>
                <w:szCs w:val="24"/>
                <w:lang w:val="pl-PL"/>
              </w:rPr>
              <w:t>Teoria działania komunikacyjnego</w:t>
            </w:r>
            <w:r w:rsidRPr="00377F0C">
              <w:rPr>
                <w:rFonts w:ascii="Times New Roman" w:eastAsia="Times New Roman" w:hAnsi="Times New Roman" w:cs="Times New Roman"/>
                <w:sz w:val="24"/>
                <w:szCs w:val="24"/>
                <w:lang w:val="pl-PL"/>
              </w:rPr>
              <w:t>, tłum. Andrzej Maciej Kaniowski, tom I, Warszawa 1999;</w:t>
            </w:r>
          </w:p>
          <w:p w14:paraId="15B4BE6A" w14:textId="77777777" w:rsidR="008E79D4" w:rsidRDefault="00AF3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Hardt M., Negri A. (2005) Imperium.</w:t>
            </w:r>
          </w:p>
          <w:p w14:paraId="15B4BE6B" w14:textId="77777777" w:rsidR="008E79D4" w:rsidRDefault="00AF3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Many Globalizations: Cultural Diversity in the Contemporary World (2002) ed.by Berger  P. L. and Huntington S.P., Oxford </w:t>
            </w:r>
            <w:proofErr w:type="spellStart"/>
            <w:r>
              <w:rPr>
                <w:rFonts w:ascii="Times New Roman" w:eastAsia="Times New Roman" w:hAnsi="Times New Roman" w:cs="Times New Roman"/>
                <w:sz w:val="24"/>
                <w:szCs w:val="24"/>
              </w:rPr>
              <w:t>Univ.Press</w:t>
            </w:r>
            <w:proofErr w:type="spellEnd"/>
            <w:r>
              <w:rPr>
                <w:rFonts w:ascii="Times New Roman" w:eastAsia="Times New Roman" w:hAnsi="Times New Roman" w:cs="Times New Roman"/>
                <w:sz w:val="24"/>
                <w:szCs w:val="24"/>
              </w:rPr>
              <w:t>.</w:t>
            </w:r>
          </w:p>
          <w:p w14:paraId="15B4BE6C"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Rawls J., (1994) </w:t>
            </w:r>
            <w:r w:rsidRPr="00377F0C">
              <w:rPr>
                <w:rFonts w:ascii="Times New Roman" w:eastAsia="Times New Roman" w:hAnsi="Times New Roman" w:cs="Times New Roman"/>
                <w:i/>
                <w:sz w:val="24"/>
                <w:szCs w:val="24"/>
                <w:lang w:val="pl-PL"/>
              </w:rPr>
              <w:t xml:space="preserve">Teoria sprawiedliwości, </w:t>
            </w:r>
            <w:r w:rsidRPr="00377F0C">
              <w:rPr>
                <w:rFonts w:ascii="Times New Roman" w:eastAsia="Times New Roman" w:hAnsi="Times New Roman" w:cs="Times New Roman"/>
                <w:sz w:val="24"/>
                <w:szCs w:val="24"/>
                <w:lang w:val="pl-PL"/>
              </w:rPr>
              <w:t>tłum. M. Panufnik, J. Pasek, A. Romaniuk, Warszawa.</w:t>
            </w:r>
          </w:p>
          <w:p w14:paraId="15B4BE6D"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Foucault, M. (1993) </w:t>
            </w:r>
            <w:r w:rsidRPr="00377F0C">
              <w:rPr>
                <w:rFonts w:ascii="Times New Roman" w:eastAsia="Times New Roman" w:hAnsi="Times New Roman" w:cs="Times New Roman"/>
                <w:i/>
                <w:sz w:val="24"/>
                <w:szCs w:val="24"/>
                <w:lang w:val="pl-PL"/>
              </w:rPr>
              <w:t>Nadzorować i karać. Narodziny więzienia,</w:t>
            </w:r>
            <w:r w:rsidRPr="00377F0C">
              <w:rPr>
                <w:rFonts w:ascii="Times New Roman" w:eastAsia="Times New Roman" w:hAnsi="Times New Roman" w:cs="Times New Roman"/>
                <w:sz w:val="24"/>
                <w:szCs w:val="24"/>
                <w:lang w:val="pl-PL"/>
              </w:rPr>
              <w:t xml:space="preserve"> tłum. T. Komendant, Warszawa.</w:t>
            </w:r>
          </w:p>
          <w:p w14:paraId="15B4BE6E"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Fraser, N. Axel H. (2006) </w:t>
            </w:r>
            <w:r w:rsidRPr="00377F0C">
              <w:rPr>
                <w:rFonts w:ascii="Times New Roman" w:eastAsia="Times New Roman" w:hAnsi="Times New Roman" w:cs="Times New Roman"/>
                <w:i/>
                <w:sz w:val="24"/>
                <w:szCs w:val="24"/>
                <w:lang w:val="pl-PL"/>
              </w:rPr>
              <w:t>Redystrybucja czy uznanie?</w:t>
            </w:r>
            <w:r w:rsidRPr="00377F0C">
              <w:rPr>
                <w:rFonts w:ascii="Times New Roman" w:eastAsia="Times New Roman" w:hAnsi="Times New Roman" w:cs="Times New Roman"/>
                <w:sz w:val="24"/>
                <w:szCs w:val="24"/>
                <w:lang w:val="pl-PL"/>
              </w:rPr>
              <w:t>, tłum. M. Bobako, T. Dominiak, Wrocław: Wydawnictwo Naukowe Dolnośląskiej Szkoły Wyższej Edukacji TWP.</w:t>
            </w:r>
          </w:p>
          <w:p w14:paraId="15B4BE6F"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Foucault M. , (2000) </w:t>
            </w:r>
            <w:r w:rsidRPr="00377F0C">
              <w:rPr>
                <w:rFonts w:ascii="Times New Roman" w:eastAsia="Times New Roman" w:hAnsi="Times New Roman" w:cs="Times New Roman"/>
                <w:i/>
                <w:sz w:val="24"/>
                <w:szCs w:val="24"/>
                <w:lang w:val="pl-PL"/>
              </w:rPr>
              <w:t>Techniki siebie</w:t>
            </w:r>
            <w:r w:rsidRPr="00377F0C">
              <w:rPr>
                <w:rFonts w:ascii="Times New Roman" w:eastAsia="Times New Roman" w:hAnsi="Times New Roman" w:cs="Times New Roman"/>
                <w:sz w:val="24"/>
                <w:szCs w:val="24"/>
                <w:lang w:val="pl-PL"/>
              </w:rPr>
              <w:t xml:space="preserve">, tłum. D. Leszczyński, L. Rasiński, w: Michel Foucault, </w:t>
            </w:r>
            <w:r w:rsidRPr="00377F0C">
              <w:rPr>
                <w:rFonts w:ascii="Times New Roman" w:eastAsia="Times New Roman" w:hAnsi="Times New Roman" w:cs="Times New Roman"/>
                <w:i/>
                <w:sz w:val="24"/>
                <w:szCs w:val="24"/>
                <w:lang w:val="pl-PL"/>
              </w:rPr>
              <w:t xml:space="preserve">Filozofia, historia, polityka, </w:t>
            </w:r>
            <w:r w:rsidRPr="00377F0C">
              <w:rPr>
                <w:rFonts w:ascii="Times New Roman" w:eastAsia="Times New Roman" w:hAnsi="Times New Roman" w:cs="Times New Roman"/>
                <w:sz w:val="24"/>
                <w:szCs w:val="24"/>
                <w:lang w:val="pl-PL"/>
              </w:rPr>
              <w:t>Warszawa.</w:t>
            </w:r>
          </w:p>
          <w:p w14:paraId="15B4BE70"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Wallerstein I.(2004) Koniec świata jaki znamy, Warszawa.</w:t>
            </w:r>
          </w:p>
          <w:p w14:paraId="15B4BE71"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Kieniewicz J., Wprowadzenie do historii cywilizacji Wschodu i Zachodu, Warszawa 2003.</w:t>
            </w:r>
          </w:p>
          <w:p w14:paraId="15B4BE72"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Rozmyślania o cywilizacji, red. J. Baradziej i J. Goćkowski, Kraków 1997.</w:t>
            </w:r>
          </w:p>
          <w:p w14:paraId="15B4BE73" w14:textId="77777777" w:rsidR="008E79D4" w:rsidRPr="00377F0C" w:rsidRDefault="00AF3D1B">
            <w:pPr>
              <w:spacing w:after="0" w:line="240" w:lineRule="auto"/>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Byrski K.M., Spotkanie z hinduizmem, Warszawa 2016.</w:t>
            </w:r>
          </w:p>
          <w:p w14:paraId="15B4BE74"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 xml:space="preserve"> </w:t>
            </w:r>
          </w:p>
          <w:p w14:paraId="15B4BE75" w14:textId="77777777" w:rsidR="008E79D4" w:rsidRDefault="00AF3D1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 LITERATURA ZALECANA:</w:t>
            </w:r>
          </w:p>
          <w:p w14:paraId="15B4BE76"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B4BE77"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Bourdieu Pierre (1998) </w:t>
            </w:r>
            <w:r>
              <w:rPr>
                <w:rFonts w:ascii="Times New Roman" w:eastAsia="Times New Roman" w:hAnsi="Times New Roman" w:cs="Times New Roman"/>
                <w:i/>
                <w:sz w:val="24"/>
                <w:szCs w:val="24"/>
              </w:rPr>
              <w:t>Practical Reason: On the Theory of Action</w:t>
            </w:r>
            <w:r>
              <w:rPr>
                <w:rFonts w:ascii="Times New Roman" w:eastAsia="Times New Roman" w:hAnsi="Times New Roman" w:cs="Times New Roman"/>
                <w:sz w:val="24"/>
                <w:szCs w:val="24"/>
              </w:rPr>
              <w:t>, Stanford University Press.</w:t>
            </w:r>
          </w:p>
          <w:p w14:paraId="15B4BE78"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Butler Judith (2015) Notes toward a performative theory of assembly. Cambridge, Massachusetts: Harvard University Press.</w:t>
            </w:r>
          </w:p>
          <w:p w14:paraId="15B4BE79"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Derrida Jacques, </w:t>
            </w:r>
            <w:proofErr w:type="spellStart"/>
            <w:r>
              <w:rPr>
                <w:rFonts w:ascii="Times New Roman" w:eastAsia="Times New Roman" w:hAnsi="Times New Roman" w:cs="Times New Roman"/>
                <w:i/>
                <w:sz w:val="24"/>
                <w:szCs w:val="24"/>
              </w:rPr>
              <w:t>Jednojęzyczność</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innego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czyli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proteza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oryginalna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tłum</w:t>
            </w:r>
            <w:proofErr w:type="spellEnd"/>
            <w:r>
              <w:rPr>
                <w:rFonts w:ascii="Times New Roman" w:eastAsia="Times New Roman" w:hAnsi="Times New Roman" w:cs="Times New Roman"/>
                <w:sz w:val="24"/>
                <w:szCs w:val="24"/>
              </w:rPr>
              <w:t xml:space="preserve">. Andrzej </w:t>
            </w:r>
            <w:proofErr w:type="spellStart"/>
            <w:r>
              <w:rPr>
                <w:rFonts w:ascii="Times New Roman" w:eastAsia="Times New Roman" w:hAnsi="Times New Roman" w:cs="Times New Roman"/>
                <w:sz w:val="24"/>
                <w:szCs w:val="24"/>
              </w:rPr>
              <w:t>Siemek</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Literatura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Świecie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xml:space="preserve"> 11-12, 1998.</w:t>
            </w:r>
          </w:p>
          <w:p w14:paraId="15B4BE7A"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Elias Norbert (2010) </w:t>
            </w:r>
            <w:r>
              <w:rPr>
                <w:rFonts w:ascii="Times New Roman" w:eastAsia="Times New Roman" w:hAnsi="Times New Roman" w:cs="Times New Roman"/>
                <w:i/>
                <w:sz w:val="24"/>
                <w:szCs w:val="24"/>
              </w:rPr>
              <w:t>The Society of Individuals</w:t>
            </w:r>
            <w:r>
              <w:rPr>
                <w:rFonts w:ascii="Times New Roman" w:eastAsia="Times New Roman" w:hAnsi="Times New Roman" w:cs="Times New Roman"/>
                <w:sz w:val="24"/>
                <w:szCs w:val="24"/>
              </w:rPr>
              <w:t xml:space="preserve">, edited by Robert van </w:t>
            </w:r>
            <w:proofErr w:type="spellStart"/>
            <w:r>
              <w:rPr>
                <w:rFonts w:ascii="Times New Roman" w:eastAsia="Times New Roman" w:hAnsi="Times New Roman" w:cs="Times New Roman"/>
                <w:sz w:val="24"/>
                <w:szCs w:val="24"/>
              </w:rPr>
              <w:t>Krieken</w:t>
            </w:r>
            <w:proofErr w:type="spellEnd"/>
            <w:r>
              <w:rPr>
                <w:rFonts w:ascii="Times New Roman" w:eastAsia="Times New Roman" w:hAnsi="Times New Roman" w:cs="Times New Roman"/>
                <w:sz w:val="24"/>
                <w:szCs w:val="24"/>
              </w:rPr>
              <w:t>, Dublin: UCD Press.</w:t>
            </w:r>
          </w:p>
          <w:p w14:paraId="15B4BE7B"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Bachtin Michaił (1983), Dialog. Język. Literatura, red. E. Czaplejewicz, E. Kasperski, Warszawa.</w:t>
            </w:r>
          </w:p>
          <w:p w14:paraId="15B4BE7C"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Jameson Fredric (2009) The Cultural Turn: Selected Writings on the Postmodern, 1983-1998, Verso, London &amp; New York.</w:t>
            </w:r>
          </w:p>
          <w:p w14:paraId="15B4BE7D"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Harvey David (2014) Seventeen Contradictions and the End of Capitalism, Oxford University Press.   </w:t>
            </w:r>
          </w:p>
          <w:p w14:paraId="15B4BE7E"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rPr>
              <w:t xml:space="preserve">Said Edward W., (1991) </w:t>
            </w:r>
            <w:proofErr w:type="spellStart"/>
            <w:r>
              <w:rPr>
                <w:rFonts w:ascii="Times New Roman" w:eastAsia="Times New Roman" w:hAnsi="Times New Roman" w:cs="Times New Roman"/>
                <w:sz w:val="24"/>
                <w:szCs w:val="24"/>
              </w:rPr>
              <w:t>Orientalizm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tłum</w:t>
            </w:r>
            <w:proofErr w:type="spellEnd"/>
            <w:r>
              <w:rPr>
                <w:rFonts w:ascii="Times New Roman" w:eastAsia="Times New Roman" w:hAnsi="Times New Roman" w:cs="Times New Roman"/>
                <w:sz w:val="24"/>
                <w:szCs w:val="24"/>
              </w:rPr>
              <w:t xml:space="preserve">. </w:t>
            </w:r>
            <w:r w:rsidRPr="00377F0C">
              <w:rPr>
                <w:rFonts w:ascii="Times New Roman" w:eastAsia="Times New Roman" w:hAnsi="Times New Roman" w:cs="Times New Roman"/>
                <w:sz w:val="24"/>
                <w:szCs w:val="24"/>
                <w:lang w:val="pl-PL"/>
              </w:rPr>
              <w:t>W. Kalinowski, Warszawa</w:t>
            </w:r>
          </w:p>
          <w:p w14:paraId="15B4BE7F" w14:textId="77777777" w:rsidR="008E79D4" w:rsidRDefault="00AF3D1B">
            <w:pPr>
              <w:spacing w:after="0" w:line="240" w:lineRule="auto"/>
              <w:jc w:val="both"/>
              <w:rPr>
                <w:rFonts w:ascii="Times New Roman" w:eastAsia="Times New Roman" w:hAnsi="Times New Roman" w:cs="Times New Roman"/>
                <w:sz w:val="24"/>
                <w:szCs w:val="24"/>
              </w:rPr>
            </w:pPr>
            <w:r w:rsidRPr="00377F0C">
              <w:rPr>
                <w:rFonts w:ascii="Times New Roman" w:eastAsia="Times New Roman" w:hAnsi="Times New Roman" w:cs="Times New Roman"/>
                <w:sz w:val="24"/>
                <w:szCs w:val="24"/>
                <w:lang w:val="pl-PL"/>
              </w:rPr>
              <w:t xml:space="preserve">Cywilizacja europejska: eseje szkice z dziejów cywilizacji i dyplomacji, red. </w:t>
            </w: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Koźmiński</w:t>
            </w:r>
            <w:proofErr w:type="spellEnd"/>
            <w:r>
              <w:rPr>
                <w:rFonts w:ascii="Times New Roman" w:eastAsia="Times New Roman" w:hAnsi="Times New Roman" w:cs="Times New Roman"/>
                <w:sz w:val="24"/>
                <w:szCs w:val="24"/>
              </w:rPr>
              <w:t>, Warszawa 2010.</w:t>
            </w:r>
          </w:p>
          <w:p w14:paraId="15B4BE80"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Hess A. C., The Forgotten Frontier. A History of the Sixteenth-Century </w:t>
            </w:r>
            <w:proofErr w:type="spellStart"/>
            <w:r>
              <w:rPr>
                <w:rFonts w:ascii="Times New Roman" w:eastAsia="Times New Roman" w:hAnsi="Times New Roman" w:cs="Times New Roman"/>
                <w:sz w:val="24"/>
                <w:szCs w:val="24"/>
              </w:rPr>
              <w:t>Ibero</w:t>
            </w:r>
            <w:proofErr w:type="spellEnd"/>
            <w:r>
              <w:rPr>
                <w:rFonts w:ascii="Times New Roman" w:eastAsia="Times New Roman" w:hAnsi="Times New Roman" w:cs="Times New Roman"/>
                <w:sz w:val="24"/>
                <w:szCs w:val="24"/>
              </w:rPr>
              <w:t>-African Frontier, London 1978</w:t>
            </w:r>
          </w:p>
          <w:p w14:paraId="15B4BE81"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Kieniewicz J., Spotkania Wschodu, Warszawa 1999.</w:t>
            </w:r>
          </w:p>
          <w:p w14:paraId="15B4BE82"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Kłoczowski J., Młodsza Europa, Warszawa 1998.</w:t>
            </w:r>
          </w:p>
          <w:p w14:paraId="15B4BE83" w14:textId="77777777" w:rsidR="008E79D4" w:rsidRPr="00377F0C" w:rsidRDefault="00AF3D1B">
            <w:pPr>
              <w:spacing w:after="0" w:line="240" w:lineRule="auto"/>
              <w:jc w:val="both"/>
              <w:rPr>
                <w:rFonts w:ascii="Times New Roman" w:eastAsia="Times New Roman" w:hAnsi="Times New Roman" w:cs="Times New Roman"/>
                <w:sz w:val="24"/>
                <w:szCs w:val="24"/>
                <w:lang w:val="pl-PL"/>
              </w:rPr>
            </w:pPr>
            <w:r w:rsidRPr="00377F0C">
              <w:rPr>
                <w:rFonts w:ascii="Times New Roman" w:eastAsia="Times New Roman" w:hAnsi="Times New Roman" w:cs="Times New Roman"/>
                <w:sz w:val="24"/>
                <w:szCs w:val="24"/>
                <w:lang w:val="pl-PL"/>
              </w:rPr>
              <w:t>Braudel F., Gramatyka cywilizacji, Warszawa 2006.</w:t>
            </w:r>
          </w:p>
          <w:p w14:paraId="15B4BE84" w14:textId="77777777" w:rsidR="008E79D4" w:rsidRPr="00377F0C" w:rsidRDefault="008E79D4">
            <w:pPr>
              <w:spacing w:after="0" w:line="240" w:lineRule="auto"/>
              <w:jc w:val="both"/>
              <w:rPr>
                <w:rFonts w:ascii="Times New Roman" w:eastAsia="Times New Roman" w:hAnsi="Times New Roman" w:cs="Times New Roman"/>
                <w:sz w:val="24"/>
                <w:szCs w:val="24"/>
                <w:lang w:val="pl-PL"/>
              </w:rPr>
            </w:pPr>
          </w:p>
        </w:tc>
      </w:tr>
      <w:tr w:rsidR="008E79D4" w14:paraId="15B4BE8A" w14:textId="77777777">
        <w:trPr>
          <w:trHeight w:val="120"/>
        </w:trPr>
        <w:tc>
          <w:tcPr>
            <w:tcW w:w="9" w:type="dxa"/>
          </w:tcPr>
          <w:p w14:paraId="15B4BE86" w14:textId="77777777" w:rsidR="008E79D4" w:rsidRPr="00377F0C" w:rsidRDefault="008E79D4">
            <w:pPr>
              <w:spacing w:after="0"/>
              <w:rPr>
                <w:rFonts w:ascii="Times New Roman" w:eastAsia="Times New Roman" w:hAnsi="Times New Roman" w:cs="Times New Roman"/>
                <w:sz w:val="24"/>
                <w:szCs w:val="24"/>
                <w:lang w:val="pl-PL"/>
              </w:rPr>
            </w:pPr>
          </w:p>
        </w:tc>
        <w:tc>
          <w:tcPr>
            <w:tcW w:w="3828" w:type="dxa"/>
            <w:tcBorders>
              <w:top w:val="single" w:sz="8" w:space="0" w:color="000000"/>
              <w:left w:val="single" w:sz="8" w:space="0" w:color="000000"/>
              <w:bottom w:val="single" w:sz="8" w:space="0" w:color="000000"/>
              <w:right w:val="single" w:sz="8" w:space="0" w:color="000000"/>
            </w:tcBorders>
            <w:shd w:val="clear" w:color="auto" w:fill="E6E6E6"/>
          </w:tcPr>
          <w:p w14:paraId="15B4BE87" w14:textId="77777777" w:rsidR="008E79D4" w:rsidRDefault="00AF3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 </w:t>
            </w:r>
            <w:proofErr w:type="spellStart"/>
            <w:r>
              <w:rPr>
                <w:rFonts w:ascii="Times New Roman" w:eastAsia="Times New Roman" w:hAnsi="Times New Roman" w:cs="Times New Roman"/>
                <w:sz w:val="24"/>
                <w:szCs w:val="24"/>
              </w:rPr>
              <w:t>miejsc</w:t>
            </w:r>
            <w:proofErr w:type="spellEnd"/>
            <w:r>
              <w:rPr>
                <w:rFonts w:ascii="Times New Roman" w:eastAsia="Times New Roman" w:hAnsi="Times New Roman" w:cs="Times New Roman"/>
                <w:sz w:val="24"/>
                <w:szCs w:val="24"/>
              </w:rPr>
              <w:t xml:space="preserve"> w </w:t>
            </w:r>
            <w:proofErr w:type="spellStart"/>
            <w:r>
              <w:rPr>
                <w:rFonts w:ascii="Times New Roman" w:eastAsia="Times New Roman" w:hAnsi="Times New Roman" w:cs="Times New Roman"/>
                <w:sz w:val="24"/>
                <w:szCs w:val="24"/>
              </w:rPr>
              <w:t>grupie</w:t>
            </w:r>
            <w:proofErr w:type="spellEnd"/>
            <w:r>
              <w:rPr>
                <w:rFonts w:ascii="Times New Roman" w:eastAsia="Times New Roman" w:hAnsi="Times New Roman" w:cs="Times New Roman"/>
                <w:sz w:val="24"/>
                <w:szCs w:val="24"/>
              </w:rPr>
              <w:t xml:space="preserve"> </w:t>
            </w:r>
          </w:p>
        </w:tc>
        <w:tc>
          <w:tcPr>
            <w:tcW w:w="6662" w:type="dxa"/>
            <w:gridSpan w:val="2"/>
            <w:tcBorders>
              <w:top w:val="single" w:sz="8" w:space="0" w:color="000000"/>
              <w:left w:val="single" w:sz="8" w:space="0" w:color="000000"/>
              <w:bottom w:val="single" w:sz="8" w:space="0" w:color="000000"/>
              <w:right w:val="single" w:sz="8" w:space="0" w:color="000000"/>
            </w:tcBorders>
            <w:shd w:val="clear" w:color="auto" w:fill="E6E6E6"/>
          </w:tcPr>
          <w:p w14:paraId="15B4BE88" w14:textId="77777777" w:rsidR="008E79D4" w:rsidRDefault="008E79D4">
            <w:pPr>
              <w:spacing w:after="0" w:line="240" w:lineRule="auto"/>
              <w:jc w:val="both"/>
              <w:rPr>
                <w:rFonts w:ascii="Times New Roman" w:eastAsia="Times New Roman" w:hAnsi="Times New Roman" w:cs="Times New Roman"/>
                <w:sz w:val="24"/>
                <w:szCs w:val="24"/>
              </w:rPr>
            </w:pPr>
          </w:p>
          <w:p w14:paraId="15B4BE89" w14:textId="77777777" w:rsidR="008E79D4" w:rsidRDefault="00AF3D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E79D4" w14:paraId="15B4BE91" w14:textId="77777777">
        <w:trPr>
          <w:trHeight w:val="420"/>
        </w:trPr>
        <w:tc>
          <w:tcPr>
            <w:tcW w:w="9" w:type="dxa"/>
          </w:tcPr>
          <w:p w14:paraId="15B4BE8B" w14:textId="77777777" w:rsidR="008E79D4" w:rsidRDefault="008E79D4">
            <w:pPr>
              <w:spacing w:after="0"/>
              <w:rPr>
                <w:rFonts w:ascii="Times New Roman" w:eastAsia="Times New Roman" w:hAnsi="Times New Roman" w:cs="Times New Roman"/>
                <w:sz w:val="24"/>
                <w:szCs w:val="24"/>
              </w:rPr>
            </w:pPr>
          </w:p>
        </w:tc>
        <w:tc>
          <w:tcPr>
            <w:tcW w:w="3828" w:type="dxa"/>
            <w:tcBorders>
              <w:top w:val="single" w:sz="8" w:space="0" w:color="000000"/>
              <w:left w:val="single" w:sz="8" w:space="0" w:color="000000"/>
              <w:bottom w:val="single" w:sz="8" w:space="0" w:color="000000"/>
              <w:right w:val="single" w:sz="8" w:space="0" w:color="000000"/>
            </w:tcBorders>
            <w:shd w:val="clear" w:color="auto" w:fill="E6E6E6"/>
          </w:tcPr>
          <w:p w14:paraId="15B4BE8C"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Terminy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odbywania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zajęć</w:t>
            </w:r>
            <w:proofErr w:type="spellEnd"/>
            <w:r>
              <w:rPr>
                <w:rFonts w:ascii="Times New Roman" w:eastAsia="Times New Roman" w:hAnsi="Times New Roman" w:cs="Times New Roman"/>
                <w:sz w:val="24"/>
                <w:szCs w:val="24"/>
              </w:rPr>
              <w:t xml:space="preserve"> </w:t>
            </w:r>
          </w:p>
        </w:tc>
        <w:tc>
          <w:tcPr>
            <w:tcW w:w="6662" w:type="dxa"/>
            <w:gridSpan w:val="2"/>
            <w:tcBorders>
              <w:top w:val="single" w:sz="8" w:space="0" w:color="000000"/>
              <w:left w:val="single" w:sz="8" w:space="0" w:color="000000"/>
              <w:bottom w:val="single" w:sz="8" w:space="0" w:color="000000"/>
              <w:right w:val="single" w:sz="8" w:space="0" w:color="000000"/>
            </w:tcBorders>
            <w:shd w:val="clear" w:color="auto" w:fill="E6E6E6"/>
          </w:tcPr>
          <w:p w14:paraId="15B4BE8D" w14:textId="77777777" w:rsidR="008E79D4" w:rsidRDefault="00AF3D1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semestr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letni</w:t>
            </w:r>
            <w:proofErr w:type="spellEnd"/>
          </w:p>
          <w:p w14:paraId="15B4BE8E" w14:textId="5466C635" w:rsidR="008E79D4" w:rsidRDefault="00AF3D1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semestr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zimowy</w:t>
            </w:r>
            <w:proofErr w:type="spellEnd"/>
          </w:p>
          <w:p w14:paraId="05CECD8D" w14:textId="69B05C15" w:rsidR="00696628" w:rsidRDefault="00696628">
            <w:pPr>
              <w:spacing w:after="0" w:line="240" w:lineRule="auto"/>
              <w:jc w:val="both"/>
              <w:rPr>
                <w:rFonts w:ascii="Times New Roman" w:eastAsia="Times New Roman" w:hAnsi="Times New Roman" w:cs="Times New Roman"/>
                <w:sz w:val="24"/>
                <w:szCs w:val="24"/>
              </w:rPr>
            </w:pPr>
          </w:p>
          <w:p w14:paraId="0D7ED370" w14:textId="77777777" w:rsidR="00696628" w:rsidRDefault="00696628" w:rsidP="00696628">
            <w:pPr>
              <w:pStyle w:val="NormalnyWeb"/>
              <w:spacing w:before="60" w:beforeAutospacing="0" w:after="60" w:afterAutospacing="0"/>
              <w:rPr>
                <w:rFonts w:ascii="Tahoma" w:hAnsi="Tahoma" w:cs="Tahoma"/>
                <w:color w:val="000000"/>
                <w:sz w:val="20"/>
                <w:szCs w:val="20"/>
                <w:lang w:val="en-US"/>
              </w:rPr>
            </w:pPr>
            <w:proofErr w:type="spellStart"/>
            <w:r>
              <w:rPr>
                <w:rFonts w:ascii="Tahoma" w:hAnsi="Tahoma" w:cs="Tahoma"/>
                <w:color w:val="000000"/>
                <w:sz w:val="20"/>
                <w:szCs w:val="20"/>
                <w:lang w:val="en-US"/>
              </w:rPr>
              <w:lastRenderedPageBreak/>
              <w:t>każdy</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czwartek</w:t>
            </w:r>
            <w:proofErr w:type="spellEnd"/>
            <w:r>
              <w:rPr>
                <w:rFonts w:ascii="Tahoma" w:hAnsi="Tahoma" w:cs="Tahoma"/>
                <w:color w:val="000000"/>
                <w:sz w:val="20"/>
                <w:szCs w:val="20"/>
                <w:lang w:val="en-US"/>
              </w:rPr>
              <w:t>, 15:00 - 18:15</w:t>
            </w:r>
          </w:p>
          <w:p w14:paraId="2DC984DF" w14:textId="77777777" w:rsidR="00696628" w:rsidRDefault="00696628">
            <w:pPr>
              <w:spacing w:after="0" w:line="240" w:lineRule="auto"/>
              <w:jc w:val="both"/>
              <w:rPr>
                <w:rFonts w:ascii="Times New Roman" w:eastAsia="Times New Roman" w:hAnsi="Times New Roman" w:cs="Times New Roman"/>
                <w:sz w:val="24"/>
                <w:szCs w:val="24"/>
              </w:rPr>
            </w:pPr>
          </w:p>
          <w:p w14:paraId="15B4BE8F" w14:textId="77777777" w:rsidR="008E79D4" w:rsidRDefault="008E79D4">
            <w:pPr>
              <w:spacing w:after="0" w:line="240" w:lineRule="auto"/>
              <w:rPr>
                <w:rFonts w:ascii="Times New Roman" w:eastAsia="Times New Roman" w:hAnsi="Times New Roman" w:cs="Times New Roman"/>
                <w:sz w:val="24"/>
                <w:szCs w:val="24"/>
              </w:rPr>
            </w:pPr>
          </w:p>
          <w:p w14:paraId="15B4BE90" w14:textId="77777777" w:rsidR="008E79D4" w:rsidRDefault="008E79D4">
            <w:pPr>
              <w:spacing w:after="0" w:line="240" w:lineRule="auto"/>
              <w:jc w:val="both"/>
              <w:rPr>
                <w:rFonts w:ascii="Times New Roman" w:eastAsia="Times New Roman" w:hAnsi="Times New Roman" w:cs="Times New Roman"/>
                <w:sz w:val="24"/>
                <w:szCs w:val="24"/>
              </w:rPr>
            </w:pPr>
          </w:p>
        </w:tc>
      </w:tr>
      <w:tr w:rsidR="008E79D4" w:rsidRPr="00696628" w14:paraId="15B4BE96" w14:textId="77777777">
        <w:trPr>
          <w:trHeight w:val="220"/>
        </w:trPr>
        <w:tc>
          <w:tcPr>
            <w:tcW w:w="9" w:type="dxa"/>
          </w:tcPr>
          <w:p w14:paraId="15B4BE92" w14:textId="77777777" w:rsidR="008E79D4" w:rsidRDefault="008E79D4">
            <w:pPr>
              <w:spacing w:after="0"/>
              <w:rPr>
                <w:rFonts w:ascii="Times New Roman" w:eastAsia="Times New Roman" w:hAnsi="Times New Roman" w:cs="Times New Roman"/>
                <w:sz w:val="24"/>
                <w:szCs w:val="24"/>
              </w:rPr>
            </w:pPr>
          </w:p>
        </w:tc>
        <w:tc>
          <w:tcPr>
            <w:tcW w:w="3828" w:type="dxa"/>
            <w:tcBorders>
              <w:top w:val="single" w:sz="8" w:space="0" w:color="000000"/>
              <w:left w:val="single" w:sz="8" w:space="0" w:color="000000"/>
              <w:bottom w:val="single" w:sz="8" w:space="0" w:color="000000"/>
              <w:right w:val="single" w:sz="8" w:space="0" w:color="000000"/>
            </w:tcBorders>
            <w:shd w:val="clear" w:color="auto" w:fill="E6E6E6"/>
          </w:tcPr>
          <w:p w14:paraId="15B4BE93" w14:textId="77777777" w:rsidR="008E79D4" w:rsidRDefault="00AF3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Miejsce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odbywania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zajęć</w:t>
            </w:r>
            <w:proofErr w:type="spellEnd"/>
            <w:r>
              <w:rPr>
                <w:rFonts w:ascii="Times New Roman" w:eastAsia="Times New Roman" w:hAnsi="Times New Roman" w:cs="Times New Roman"/>
                <w:sz w:val="24"/>
                <w:szCs w:val="24"/>
              </w:rPr>
              <w:t xml:space="preserve"> </w:t>
            </w:r>
          </w:p>
        </w:tc>
        <w:tc>
          <w:tcPr>
            <w:tcW w:w="6662" w:type="dxa"/>
            <w:gridSpan w:val="2"/>
            <w:tcBorders>
              <w:top w:val="single" w:sz="8" w:space="0" w:color="000000"/>
              <w:left w:val="single" w:sz="8" w:space="0" w:color="000000"/>
              <w:bottom w:val="single" w:sz="8" w:space="0" w:color="000000"/>
              <w:right w:val="single" w:sz="8" w:space="0" w:color="000000"/>
            </w:tcBorders>
            <w:shd w:val="clear" w:color="auto" w:fill="E6E6E6"/>
          </w:tcPr>
          <w:p w14:paraId="15B4BE94" w14:textId="737836D5" w:rsidR="008E79D4" w:rsidRPr="00696628" w:rsidRDefault="00696628">
            <w:pPr>
              <w:spacing w:after="0" w:line="240" w:lineRule="auto"/>
              <w:jc w:val="both"/>
              <w:rPr>
                <w:rFonts w:ascii="Times New Roman" w:eastAsia="Times New Roman" w:hAnsi="Times New Roman" w:cs="Times New Roman"/>
                <w:sz w:val="24"/>
                <w:szCs w:val="24"/>
                <w:lang w:val="pl-PL"/>
              </w:rPr>
            </w:pPr>
            <w:r w:rsidRPr="00696628">
              <w:rPr>
                <w:rFonts w:ascii="Times New Roman" w:eastAsia="Times New Roman" w:hAnsi="Times New Roman" w:cs="Times New Roman"/>
                <w:sz w:val="24"/>
                <w:szCs w:val="24"/>
                <w:lang w:val="pl-PL"/>
              </w:rPr>
              <w:t xml:space="preserve">s.28 </w:t>
            </w:r>
            <w:r w:rsidRPr="00696628">
              <w:rPr>
                <w:rFonts w:ascii="Tahoma" w:hAnsi="Tahoma" w:cs="Tahoma"/>
                <w:color w:val="646464"/>
                <w:sz w:val="16"/>
                <w:szCs w:val="16"/>
                <w:lang w:val="pl-PL"/>
              </w:rPr>
              <w:t>Pałac Zamojskich, Nowy ś</w:t>
            </w:r>
            <w:r>
              <w:rPr>
                <w:rFonts w:ascii="Tahoma" w:hAnsi="Tahoma" w:cs="Tahoma"/>
                <w:color w:val="646464"/>
                <w:sz w:val="16"/>
                <w:szCs w:val="16"/>
                <w:lang w:val="pl-PL"/>
              </w:rPr>
              <w:t>wiat 69</w:t>
            </w:r>
          </w:p>
          <w:p w14:paraId="15B4BE95" w14:textId="77777777" w:rsidR="008E79D4" w:rsidRPr="00696628" w:rsidRDefault="008E79D4">
            <w:pPr>
              <w:spacing w:after="0" w:line="240" w:lineRule="auto"/>
              <w:jc w:val="both"/>
              <w:rPr>
                <w:rFonts w:ascii="Times New Roman" w:eastAsia="Times New Roman" w:hAnsi="Times New Roman" w:cs="Times New Roman"/>
                <w:sz w:val="24"/>
                <w:szCs w:val="24"/>
                <w:lang w:val="pl-PL"/>
              </w:rPr>
            </w:pPr>
          </w:p>
        </w:tc>
      </w:tr>
    </w:tbl>
    <w:p w14:paraId="15B4BE97" w14:textId="77777777" w:rsidR="008E79D4" w:rsidRPr="00696628" w:rsidRDefault="008E79D4">
      <w:pPr>
        <w:rPr>
          <w:rFonts w:ascii="Times New Roman" w:eastAsia="Times New Roman" w:hAnsi="Times New Roman" w:cs="Times New Roman"/>
          <w:sz w:val="24"/>
          <w:szCs w:val="24"/>
          <w:lang w:val="pl-PL"/>
        </w:rPr>
      </w:pPr>
    </w:p>
    <w:p w14:paraId="15B4BE98" w14:textId="77777777" w:rsidR="008E79D4" w:rsidRPr="00696628" w:rsidRDefault="008E79D4">
      <w:pPr>
        <w:rPr>
          <w:rFonts w:ascii="Times New Roman" w:eastAsia="Times New Roman" w:hAnsi="Times New Roman" w:cs="Times New Roman"/>
          <w:sz w:val="24"/>
          <w:szCs w:val="24"/>
          <w:lang w:val="pl-PL"/>
        </w:rPr>
      </w:pPr>
    </w:p>
    <w:sectPr w:rsidR="008E79D4" w:rsidRPr="00696628">
      <w:pgSz w:w="11906" w:h="16838"/>
      <w:pgMar w:top="1134" w:right="1077" w:bottom="1134" w:left="107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94C1D"/>
    <w:multiLevelType w:val="multilevel"/>
    <w:tmpl w:val="922E6A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D4"/>
    <w:rsid w:val="00377F0C"/>
    <w:rsid w:val="00696628"/>
    <w:rsid w:val="006F3D10"/>
    <w:rsid w:val="00747A97"/>
    <w:rsid w:val="008E79D4"/>
    <w:rsid w:val="00972B00"/>
    <w:rsid w:val="00AF3D1B"/>
    <w:rsid w:val="00B4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BD2C"/>
  <w15:docId w15:val="{FE3336F4-44B4-4272-AC13-255D3285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spacing w:before="480"/>
      <w:outlineLvl w:val="0"/>
    </w:pPr>
    <w:rPr>
      <w:b/>
      <w:color w:val="345A8A"/>
      <w:sz w:val="32"/>
      <w:szCs w:val="32"/>
    </w:rPr>
  </w:style>
  <w:style w:type="paragraph" w:styleId="Nagwek2">
    <w:name w:val="heading 2"/>
    <w:basedOn w:val="Normalny"/>
    <w:next w:val="Normalny"/>
    <w:pPr>
      <w:spacing w:before="200"/>
      <w:outlineLvl w:val="1"/>
    </w:pPr>
    <w:rPr>
      <w:b/>
      <w:color w:val="4F81BD"/>
      <w:sz w:val="26"/>
      <w:szCs w:val="26"/>
    </w:rPr>
  </w:style>
  <w:style w:type="paragraph" w:styleId="Nagwek3">
    <w:name w:val="heading 3"/>
    <w:basedOn w:val="Normalny"/>
    <w:next w:val="Normalny"/>
    <w:pPr>
      <w:spacing w:before="200"/>
      <w:outlineLvl w:val="2"/>
    </w:pPr>
    <w:rPr>
      <w:b/>
      <w:color w:val="4F81BD"/>
      <w:sz w:val="24"/>
      <w:szCs w:val="24"/>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spacing w:after="300"/>
    </w:pPr>
    <w:rPr>
      <w:color w:val="17365D"/>
      <w:sz w:val="52"/>
      <w:szCs w:val="52"/>
    </w:rPr>
  </w:style>
  <w:style w:type="paragraph" w:styleId="Podtytu">
    <w:name w:val="Subtitle"/>
    <w:basedOn w:val="Normalny"/>
    <w:next w:val="Normalny"/>
    <w:rPr>
      <w:i/>
      <w:color w:val="4F81BD"/>
      <w:sz w:val="24"/>
      <w:szCs w:val="24"/>
    </w:rPr>
  </w:style>
  <w:style w:type="table" w:customStyle="1" w:styleId="a">
    <w:basedOn w:val="Standardowy"/>
    <w:tblPr>
      <w:tblStyleRowBandSize w:val="1"/>
      <w:tblStyleColBandSize w:val="1"/>
      <w:tblCellMar>
        <w:left w:w="115" w:type="dxa"/>
        <w:right w:w="115" w:type="dxa"/>
      </w:tblCellMar>
    </w:tblPr>
  </w:style>
  <w:style w:type="table" w:customStyle="1" w:styleId="a0">
    <w:basedOn w:val="Standardowy"/>
    <w:tblPr>
      <w:tblStyleRowBandSize w:val="1"/>
      <w:tblStyleColBandSize w:val="1"/>
      <w:tblCellMar>
        <w:left w:w="115" w:type="dxa"/>
        <w:right w:w="115" w:type="dxa"/>
      </w:tblCellMar>
    </w:tblPr>
  </w:style>
  <w:style w:type="paragraph" w:styleId="NormalnyWeb">
    <w:name w:val="Normal (Web)"/>
    <w:basedOn w:val="Normalny"/>
    <w:uiPriority w:val="99"/>
    <w:semiHidden/>
    <w:unhideWhenUsed/>
    <w:rsid w:val="00696628"/>
    <w:pPr>
      <w:widowControl/>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Hipercze">
    <w:name w:val="Hyperlink"/>
    <w:basedOn w:val="Domylnaczcionkaakapitu"/>
    <w:uiPriority w:val="99"/>
    <w:semiHidden/>
    <w:unhideWhenUsed/>
    <w:rsid w:val="00696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2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3690</Words>
  <Characters>22141</Characters>
  <Application>Microsoft Office Word</Application>
  <DocSecurity>0</DocSecurity>
  <Lines>184</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dharma dharma</dc:creator>
  <cp:lastModifiedBy>Marta Cmiel</cp:lastModifiedBy>
  <cp:revision>2</cp:revision>
  <dcterms:created xsi:type="dcterms:W3CDTF">2017-10-09T13:50:00Z</dcterms:created>
  <dcterms:modified xsi:type="dcterms:W3CDTF">2017-10-09T13:50:00Z</dcterms:modified>
</cp:coreProperties>
</file>